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591AC2" w:rsidTr="00C04B4A">
        <w:tc>
          <w:tcPr>
            <w:tcW w:w="5400" w:type="dxa"/>
          </w:tcPr>
          <w:p w:rsidR="00591AC2" w:rsidRPr="00063827" w:rsidRDefault="00591AC2" w:rsidP="00C04B4A">
            <w:pPr>
              <w:jc w:val="center"/>
              <w:rPr>
                <w:sz w:val="24"/>
                <w:szCs w:val="24"/>
              </w:rPr>
            </w:pPr>
            <w:r w:rsidRPr="00063827">
              <w:rPr>
                <w:sz w:val="24"/>
                <w:szCs w:val="24"/>
              </w:rPr>
              <w:t>CÔNG ĐOÀN VIÊN CHỨC VIỆT NAM</w:t>
            </w:r>
          </w:p>
          <w:p w:rsidR="00591AC2" w:rsidRDefault="00591AC2" w:rsidP="004E5D5D">
            <w:pPr>
              <w:jc w:val="center"/>
              <w:rPr>
                <w:b/>
                <w:bCs/>
              </w:rPr>
            </w:pPr>
            <w:r w:rsidRPr="00063827">
              <w:rPr>
                <w:b/>
                <w:bCs/>
                <w:sz w:val="24"/>
                <w:szCs w:val="24"/>
              </w:rPr>
              <w:t xml:space="preserve">CÔNG ĐOÀN </w:t>
            </w:r>
            <w:r w:rsidR="004E5D5D">
              <w:rPr>
                <w:b/>
                <w:bCs/>
                <w:sz w:val="24"/>
                <w:szCs w:val="24"/>
              </w:rPr>
              <w:t>BAN NỘI CHÍNH TW</w:t>
            </w:r>
          </w:p>
          <w:p w:rsidR="00591AC2" w:rsidRDefault="00A917DE" w:rsidP="00C04B4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38735</wp:posOffset>
                      </wp:positionV>
                      <wp:extent cx="914400" cy="0"/>
                      <wp:effectExtent l="7620" t="10160" r="1143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05pt" to="165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N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"/>
                  </w:pict>
                </mc:Fallback>
              </mc:AlternateContent>
            </w:r>
          </w:p>
          <w:p w:rsidR="00591AC2" w:rsidRDefault="00591AC2" w:rsidP="00C04B4A">
            <w:pPr>
              <w:jc w:val="center"/>
            </w:pPr>
            <w:r w:rsidRPr="00FF1B7D">
              <w:t>Số</w:t>
            </w:r>
            <w:r w:rsidR="00A917DE">
              <w:t xml:space="preserve"> 10</w:t>
            </w:r>
            <w:r>
              <w:t xml:space="preserve"> </w:t>
            </w:r>
            <w:r w:rsidRPr="00FF1B7D">
              <w:t>/</w:t>
            </w:r>
            <w:r>
              <w:t>QĐ</w:t>
            </w:r>
            <w:r w:rsidRPr="00FF1B7D">
              <w:t>-</w:t>
            </w:r>
            <w:r>
              <w:t>BCH</w:t>
            </w:r>
            <w:r w:rsidRPr="00FF1B7D">
              <w:t>CĐ</w:t>
            </w:r>
          </w:p>
          <w:p w:rsidR="00B40354" w:rsidRPr="00A917DE" w:rsidRDefault="00B40354" w:rsidP="00C04B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591AC2" w:rsidRPr="004E5D5D" w:rsidRDefault="00227852" w:rsidP="00C04B4A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C</w:t>
            </w:r>
            <w:r>
              <w:rPr>
                <w:b/>
                <w:bCs/>
                <w:sz w:val="24"/>
                <w:szCs w:val="24"/>
              </w:rPr>
              <w:t>Ộ</w:t>
            </w:r>
            <w:r w:rsidR="00591AC2" w:rsidRPr="004E5D5D">
              <w:rPr>
                <w:b/>
                <w:bCs/>
                <w:sz w:val="24"/>
                <w:szCs w:val="24"/>
                <w:lang w:val="vi-VN"/>
              </w:rPr>
              <w:t>NG HÒA XÃ HỘI CHỦ NGHĨA VIỆT NAM</w:t>
            </w:r>
          </w:p>
          <w:p w:rsidR="00591AC2" w:rsidRDefault="00591AC2" w:rsidP="00C04B4A">
            <w:pPr>
              <w:jc w:val="center"/>
            </w:pPr>
            <w:r>
              <w:rPr>
                <w:b/>
                <w:bCs/>
              </w:rPr>
              <w:t>Độc lập – Tự do – Hạnh phúc</w:t>
            </w:r>
          </w:p>
          <w:p w:rsidR="00591AC2" w:rsidRDefault="00A917DE" w:rsidP="00C04B4A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29845</wp:posOffset>
                      </wp:positionV>
                      <wp:extent cx="2286000" cy="0"/>
                      <wp:effectExtent l="9525" t="10795" r="9525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2.35pt" to="22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"/>
                  </w:pict>
                </mc:Fallback>
              </mc:AlternateContent>
            </w:r>
          </w:p>
          <w:p w:rsidR="00591AC2" w:rsidRPr="00200C17" w:rsidRDefault="00A917DE" w:rsidP="00227852">
            <w:pPr>
              <w:jc w:val="center"/>
            </w:pPr>
            <w:r>
              <w:rPr>
                <w:i/>
                <w:iCs/>
              </w:rPr>
              <w:t>Hà Nội, ngày</w:t>
            </w:r>
            <w:r w:rsidR="00591AC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26</w:t>
            </w:r>
            <w:r w:rsidR="00591AC2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>8</w:t>
            </w:r>
            <w:r w:rsidR="00591AC2">
              <w:rPr>
                <w:i/>
                <w:iCs/>
              </w:rPr>
              <w:t xml:space="preserve"> năm 20</w:t>
            </w:r>
            <w:r w:rsidR="00B40354">
              <w:rPr>
                <w:i/>
                <w:iCs/>
              </w:rPr>
              <w:t>1</w:t>
            </w:r>
            <w:r w:rsidR="004E5D5D">
              <w:rPr>
                <w:i/>
                <w:iCs/>
              </w:rPr>
              <w:t>3</w:t>
            </w:r>
          </w:p>
        </w:tc>
      </w:tr>
    </w:tbl>
    <w:p w:rsidR="00591AC2" w:rsidRDefault="00591AC2" w:rsidP="00591AC2"/>
    <w:p w:rsidR="00591AC2" w:rsidRDefault="00591AC2" w:rsidP="00591AC2">
      <w:pPr>
        <w:jc w:val="center"/>
      </w:pPr>
    </w:p>
    <w:p w:rsidR="00591AC2" w:rsidRDefault="00591AC2" w:rsidP="00591AC2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QUYẾT ĐỊNH</w:t>
      </w:r>
    </w:p>
    <w:p w:rsidR="00341541" w:rsidRDefault="00B40354" w:rsidP="00591AC2">
      <w:pPr>
        <w:jc w:val="center"/>
        <w:rPr>
          <w:b/>
          <w:bCs/>
        </w:rPr>
      </w:pPr>
      <w:r>
        <w:rPr>
          <w:b/>
          <w:bCs/>
        </w:rPr>
        <w:t>Về việc ban hành Quy chế làm việc của Ban Chấp hành</w:t>
      </w:r>
      <w:r w:rsidR="005B44EF">
        <w:rPr>
          <w:b/>
          <w:bCs/>
        </w:rPr>
        <w:t xml:space="preserve"> Công đoàn</w:t>
      </w:r>
      <w:r w:rsidR="00591AC2">
        <w:rPr>
          <w:b/>
          <w:bCs/>
        </w:rPr>
        <w:t xml:space="preserve"> </w:t>
      </w:r>
    </w:p>
    <w:p w:rsidR="00591AC2" w:rsidRDefault="004E5D5D" w:rsidP="00591AC2">
      <w:pPr>
        <w:jc w:val="center"/>
        <w:rPr>
          <w:b/>
          <w:bCs/>
        </w:rPr>
      </w:pPr>
      <w:r>
        <w:rPr>
          <w:b/>
          <w:bCs/>
        </w:rPr>
        <w:t>lâm thời</w:t>
      </w:r>
      <w:r w:rsidR="00341541">
        <w:rPr>
          <w:b/>
          <w:bCs/>
        </w:rPr>
        <w:t xml:space="preserve"> cơ quan</w:t>
      </w:r>
      <w:r>
        <w:rPr>
          <w:b/>
          <w:bCs/>
        </w:rPr>
        <w:t xml:space="preserve"> Ban Nội chính Trung ương</w:t>
      </w:r>
    </w:p>
    <w:p w:rsidR="00B40354" w:rsidRDefault="00B40354" w:rsidP="00591AC2">
      <w:pPr>
        <w:jc w:val="center"/>
        <w:rPr>
          <w:b/>
          <w:bCs/>
        </w:rPr>
      </w:pPr>
    </w:p>
    <w:p w:rsidR="004E5D5D" w:rsidRDefault="00B40354" w:rsidP="004E5D5D">
      <w:pPr>
        <w:jc w:val="center"/>
        <w:rPr>
          <w:b/>
          <w:bCs/>
        </w:rPr>
      </w:pPr>
      <w:r>
        <w:rPr>
          <w:b/>
          <w:bCs/>
        </w:rPr>
        <w:t>BAN CHẤP HÀNH</w:t>
      </w:r>
      <w:r w:rsidR="00591AC2">
        <w:rPr>
          <w:b/>
          <w:bCs/>
        </w:rPr>
        <w:t xml:space="preserve"> CÔNG ĐOÀN </w:t>
      </w:r>
      <w:r w:rsidR="00341541">
        <w:rPr>
          <w:b/>
          <w:bCs/>
        </w:rPr>
        <w:t xml:space="preserve">LÂM THỜI </w:t>
      </w:r>
    </w:p>
    <w:p w:rsidR="00591AC2" w:rsidRDefault="004E5D5D" w:rsidP="004E5D5D">
      <w:pPr>
        <w:jc w:val="center"/>
      </w:pPr>
      <w:r>
        <w:rPr>
          <w:b/>
          <w:bCs/>
        </w:rPr>
        <w:t>BAN NỘI CHÍNH TRUNG ƯƠNG</w:t>
      </w:r>
    </w:p>
    <w:p w:rsidR="00591AC2" w:rsidRDefault="00591AC2" w:rsidP="00591AC2">
      <w:pPr>
        <w:jc w:val="both"/>
      </w:pPr>
    </w:p>
    <w:p w:rsidR="00591AC2" w:rsidRDefault="00591AC2" w:rsidP="00591AC2">
      <w:pPr>
        <w:pStyle w:val="NormalWeb"/>
        <w:spacing w:before="120" w:after="0" w:line="264" w:lineRule="auto"/>
        <w:ind w:firstLine="720"/>
        <w:jc w:val="both"/>
        <w:rPr>
          <w:rStyle w:val="Emphasis"/>
          <w:i w:val="0"/>
          <w:iCs w:val="0"/>
          <w:color w:val="333333"/>
          <w:sz w:val="28"/>
          <w:szCs w:val="28"/>
          <w:lang w:val="en-GB"/>
        </w:rPr>
      </w:pP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- Căn cứ Điều lệ Công đoàn Việt Nam (năm 2003)</w:t>
      </w:r>
      <w:r w:rsidR="00B40354">
        <w:rPr>
          <w:rStyle w:val="Emphasis"/>
          <w:i w:val="0"/>
          <w:iCs w:val="0"/>
          <w:color w:val="333333"/>
          <w:sz w:val="28"/>
          <w:szCs w:val="28"/>
          <w:lang w:val="en-GB"/>
        </w:rPr>
        <w:t>;</w:t>
      </w:r>
    </w:p>
    <w:p w:rsidR="004E5D5D" w:rsidRDefault="004E5D5D" w:rsidP="00591AC2">
      <w:pPr>
        <w:pStyle w:val="NormalWeb"/>
        <w:spacing w:before="120" w:after="0" w:line="264" w:lineRule="auto"/>
        <w:ind w:firstLine="720"/>
        <w:jc w:val="both"/>
        <w:rPr>
          <w:rStyle w:val="Emphasis"/>
          <w:i w:val="0"/>
          <w:iCs w:val="0"/>
          <w:color w:val="333333"/>
          <w:sz w:val="28"/>
          <w:szCs w:val="28"/>
          <w:lang w:val="en-GB"/>
        </w:rPr>
      </w:pP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- Căn cứ Quyết định số 140/QĐ-CĐVC ngày 23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>-5-2013 của Công đoàn v</w:t>
      </w: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iên chức Việt Nam về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 xml:space="preserve"> việc</w:t>
      </w: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 xml:space="preserve"> thành lập và chỉ định Ban 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>c</w:t>
      </w: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hấp hành, Ủy b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>an kiểm tra lâm thời Công đoàn c</w:t>
      </w: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ơ quan Ban Nội chính T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>rung ương</w:t>
      </w: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>;</w:t>
      </w:r>
    </w:p>
    <w:p w:rsidR="00B40354" w:rsidRDefault="004E5D5D" w:rsidP="00341541">
      <w:pPr>
        <w:pStyle w:val="NormalWeb"/>
        <w:spacing w:before="120" w:after="0" w:line="264" w:lineRule="auto"/>
        <w:ind w:firstLine="720"/>
        <w:jc w:val="both"/>
        <w:rPr>
          <w:rStyle w:val="Emphasis"/>
          <w:i w:val="0"/>
          <w:iCs w:val="0"/>
          <w:color w:val="333333"/>
          <w:sz w:val="28"/>
          <w:szCs w:val="28"/>
          <w:lang w:val="en-GB"/>
        </w:rPr>
      </w:pPr>
      <w:r>
        <w:rPr>
          <w:rStyle w:val="Emphasis"/>
          <w:i w:val="0"/>
          <w:iCs w:val="0"/>
          <w:color w:val="333333"/>
          <w:sz w:val="28"/>
          <w:szCs w:val="28"/>
          <w:lang w:val="en-GB"/>
        </w:rPr>
        <w:t xml:space="preserve">- Căn cứ </w:t>
      </w:r>
      <w:r w:rsidR="00341541">
        <w:rPr>
          <w:rStyle w:val="Emphasis"/>
          <w:i w:val="0"/>
          <w:iCs w:val="0"/>
          <w:color w:val="333333"/>
          <w:sz w:val="28"/>
          <w:szCs w:val="28"/>
          <w:lang w:val="en-GB"/>
        </w:rPr>
        <w:t>kết luận Hội nghị Ban Chấp hành lâm thời Công đoàn cơ quan Ban Nội chính Trung ương lần thứ nhất ngày 02-8-2013.</w:t>
      </w:r>
    </w:p>
    <w:p w:rsidR="00591AC2" w:rsidRDefault="00591AC2" w:rsidP="00591AC2">
      <w:pPr>
        <w:spacing w:before="120" w:line="264" w:lineRule="auto"/>
        <w:ind w:firstLine="720"/>
        <w:jc w:val="center"/>
        <w:rPr>
          <w:b/>
          <w:bCs/>
        </w:rPr>
      </w:pPr>
      <w:r>
        <w:rPr>
          <w:b/>
          <w:bCs/>
        </w:rPr>
        <w:t>QUYẾT ĐỊNH</w:t>
      </w:r>
    </w:p>
    <w:p w:rsidR="00591AC2" w:rsidRDefault="00591AC2" w:rsidP="00591AC2">
      <w:pPr>
        <w:spacing w:before="120" w:line="264" w:lineRule="auto"/>
        <w:ind w:firstLine="720"/>
        <w:jc w:val="both"/>
        <w:rPr>
          <w:b/>
          <w:bCs/>
        </w:rPr>
      </w:pPr>
      <w:r>
        <w:rPr>
          <w:b/>
          <w:bCs/>
        </w:rPr>
        <w:t>Điều 1.</w:t>
      </w:r>
      <w:r w:rsidRPr="00273E60">
        <w:t xml:space="preserve"> </w:t>
      </w:r>
      <w:r w:rsidR="00341541">
        <w:t>Ban h</w:t>
      </w:r>
      <w:r w:rsidR="00B40354">
        <w:t>ành kèm theo Quyết định này</w:t>
      </w:r>
      <w:r w:rsidR="00341541">
        <w:t xml:space="preserve"> bản</w:t>
      </w:r>
      <w:r w:rsidR="00B40354">
        <w:t xml:space="preserve"> Quy chế làm việc của Ban Chấp hành</w:t>
      </w:r>
      <w:r w:rsidR="00341541">
        <w:t xml:space="preserve"> lâm thời</w:t>
      </w:r>
      <w:r w:rsidR="00B40354">
        <w:t xml:space="preserve"> Công đoàn </w:t>
      </w:r>
      <w:r w:rsidR="00341541">
        <w:t>cơ quan</w:t>
      </w:r>
      <w:r w:rsidR="004E5D5D">
        <w:t xml:space="preserve"> Ban Nội chính T</w:t>
      </w:r>
      <w:r w:rsidR="00341541">
        <w:t>rung ương</w:t>
      </w:r>
      <w:r w:rsidR="004E5D5D">
        <w:t>.</w:t>
      </w:r>
    </w:p>
    <w:p w:rsidR="00591AC2" w:rsidRDefault="00591AC2" w:rsidP="00591AC2">
      <w:pPr>
        <w:spacing w:before="120" w:line="264" w:lineRule="auto"/>
        <w:ind w:firstLine="720"/>
        <w:jc w:val="both"/>
      </w:pPr>
      <w:r w:rsidRPr="00334016">
        <w:rPr>
          <w:b/>
          <w:bCs/>
        </w:rPr>
        <w:t>Điều 2</w:t>
      </w:r>
      <w:r>
        <w:t xml:space="preserve">. </w:t>
      </w:r>
      <w:r w:rsidR="00B40354" w:rsidRPr="001E3D9A">
        <w:t>Q</w:t>
      </w:r>
      <w:r w:rsidR="00B40354">
        <w:t>uy chế này</w:t>
      </w:r>
      <w:r w:rsidR="00B40354" w:rsidRPr="001E3D9A">
        <w:t xml:space="preserve"> có hiệu lực </w:t>
      </w:r>
      <w:r w:rsidR="00F26791">
        <w:t xml:space="preserve">kể từ </w:t>
      </w:r>
      <w:r w:rsidR="00B40354" w:rsidRPr="001E3D9A">
        <w:t>ngày ký</w:t>
      </w:r>
      <w:r w:rsidR="00B40354">
        <w:t xml:space="preserve"> đến </w:t>
      </w:r>
      <w:r w:rsidR="004E5D5D">
        <w:t>Đại hội Công đoàn</w:t>
      </w:r>
      <w:r w:rsidR="00341541">
        <w:t xml:space="preserve"> cơ quan</w:t>
      </w:r>
      <w:r w:rsidR="004E5D5D">
        <w:t xml:space="preserve"> Ban Nội chính T</w:t>
      </w:r>
      <w:r w:rsidR="00341541">
        <w:t>rung ương</w:t>
      </w:r>
      <w:r w:rsidR="004E5D5D">
        <w:t>.</w:t>
      </w:r>
    </w:p>
    <w:p w:rsidR="00B40354" w:rsidRDefault="00591AC2" w:rsidP="00591AC2">
      <w:pPr>
        <w:spacing w:before="120" w:line="264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Điều 3. </w:t>
      </w:r>
      <w:r w:rsidR="00B40354" w:rsidRPr="00B40354">
        <w:t xml:space="preserve">Ban Thường vụ, các đồng chí ủy viên Ban Chấp hành Công đoàn </w:t>
      </w:r>
      <w:r w:rsidR="00341541">
        <w:t xml:space="preserve">lâm thời cơ quan </w:t>
      </w:r>
      <w:r w:rsidR="004E5D5D">
        <w:t>Ban Nội chính T</w:t>
      </w:r>
      <w:r w:rsidR="00341541">
        <w:t>rung ương</w:t>
      </w:r>
      <w:r w:rsidR="004E5D5D">
        <w:t xml:space="preserve"> </w:t>
      </w:r>
      <w:r w:rsidR="00B40354" w:rsidRPr="00B40354">
        <w:t>căn cứ Quyết định thi hành</w:t>
      </w:r>
      <w:r w:rsidR="00B40354" w:rsidRPr="00F73998">
        <w:rPr>
          <w:color w:val="333333"/>
          <w:lang w:val="en-GB"/>
        </w:rPr>
        <w:t>./.</w:t>
      </w:r>
    </w:p>
    <w:p w:rsidR="00591AC2" w:rsidRDefault="00591AC2" w:rsidP="00591AC2">
      <w:pPr>
        <w:pStyle w:val="NormalWeb"/>
        <w:spacing w:before="120" w:after="0" w:line="264" w:lineRule="auto"/>
        <w:ind w:firstLine="720"/>
        <w:jc w:val="both"/>
        <w:rPr>
          <w:color w:val="333333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591AC2" w:rsidTr="00C04B4A">
        <w:tc>
          <w:tcPr>
            <w:tcW w:w="5004" w:type="dxa"/>
          </w:tcPr>
          <w:p w:rsidR="00591AC2" w:rsidRDefault="00591AC2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333333"/>
                <w:lang w:val="en-GB"/>
              </w:rPr>
              <w:t>Nơi nhận:</w:t>
            </w:r>
          </w:p>
          <w:p w:rsidR="00591AC2" w:rsidRDefault="00591AC2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r>
              <w:rPr>
                <w:color w:val="333333"/>
                <w:lang w:val="en-GB"/>
              </w:rPr>
              <w:t>- Như Điề</w:t>
            </w:r>
            <w:r w:rsidR="005B44EF">
              <w:rPr>
                <w:color w:val="333333"/>
                <w:lang w:val="en-GB"/>
              </w:rPr>
              <w:t>u 3</w:t>
            </w:r>
            <w:r>
              <w:rPr>
                <w:color w:val="333333"/>
                <w:lang w:val="en-GB"/>
              </w:rPr>
              <w:t>;</w:t>
            </w:r>
          </w:p>
          <w:p w:rsidR="00591AC2" w:rsidRDefault="00591AC2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r>
              <w:rPr>
                <w:color w:val="333333"/>
                <w:lang w:val="en-GB"/>
              </w:rPr>
              <w:t>- C</w:t>
            </w:r>
            <w:r w:rsidR="005B44EF">
              <w:rPr>
                <w:color w:val="333333"/>
                <w:lang w:val="en-GB"/>
              </w:rPr>
              <w:t xml:space="preserve">ông đoàn VCVN </w:t>
            </w:r>
            <w:r w:rsidR="004E5D5D">
              <w:rPr>
                <w:color w:val="333333"/>
                <w:lang w:val="en-GB"/>
              </w:rPr>
              <w:t>(để b</w:t>
            </w:r>
            <w:r w:rsidR="00341541">
              <w:rPr>
                <w:color w:val="333333"/>
                <w:lang w:val="en-GB"/>
              </w:rPr>
              <w:t xml:space="preserve">áo </w:t>
            </w:r>
            <w:r w:rsidR="004E5D5D">
              <w:rPr>
                <w:color w:val="333333"/>
                <w:lang w:val="en-GB"/>
              </w:rPr>
              <w:t>c</w:t>
            </w:r>
            <w:r w:rsidR="00341541">
              <w:rPr>
                <w:color w:val="333333"/>
                <w:lang w:val="en-GB"/>
              </w:rPr>
              <w:t>áo</w:t>
            </w:r>
            <w:r w:rsidR="004E5D5D">
              <w:rPr>
                <w:color w:val="333333"/>
                <w:lang w:val="en-GB"/>
              </w:rPr>
              <w:t>)</w:t>
            </w:r>
            <w:r>
              <w:rPr>
                <w:color w:val="333333"/>
                <w:lang w:val="en-GB"/>
              </w:rPr>
              <w:t>;</w:t>
            </w:r>
          </w:p>
          <w:p w:rsidR="00591AC2" w:rsidRDefault="00591AC2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r>
              <w:rPr>
                <w:color w:val="333333"/>
                <w:lang w:val="en-GB"/>
              </w:rPr>
              <w:t xml:space="preserve">- </w:t>
            </w:r>
            <w:r w:rsidR="005B44EF">
              <w:rPr>
                <w:color w:val="333333"/>
                <w:lang w:val="en-GB"/>
              </w:rPr>
              <w:t xml:space="preserve">Lãnh đạo, </w:t>
            </w:r>
            <w:r>
              <w:rPr>
                <w:color w:val="333333"/>
                <w:lang w:val="en-GB"/>
              </w:rPr>
              <w:t xml:space="preserve">Đảng ủy </w:t>
            </w:r>
            <w:r w:rsidR="004E5D5D">
              <w:rPr>
                <w:color w:val="333333"/>
                <w:lang w:val="en-GB"/>
              </w:rPr>
              <w:t>Ban NCTW</w:t>
            </w:r>
            <w:r>
              <w:rPr>
                <w:color w:val="333333"/>
                <w:lang w:val="en-GB"/>
              </w:rPr>
              <w:t>;</w:t>
            </w:r>
          </w:p>
          <w:p w:rsidR="00591AC2" w:rsidRDefault="005B44EF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r>
              <w:rPr>
                <w:color w:val="333333"/>
                <w:lang w:val="en-GB"/>
              </w:rPr>
              <w:t xml:space="preserve">- Các </w:t>
            </w:r>
            <w:r w:rsidR="00341541">
              <w:rPr>
                <w:color w:val="333333"/>
                <w:lang w:val="en-GB"/>
              </w:rPr>
              <w:t>T</w:t>
            </w:r>
            <w:r w:rsidR="00341541">
              <w:rPr>
                <w:color w:val="333333"/>
                <w:lang w:val="en-GB"/>
              </w:rPr>
              <w:t>ổ Công đoàn</w:t>
            </w:r>
            <w:r w:rsidR="00341541">
              <w:rPr>
                <w:color w:val="333333"/>
                <w:lang w:val="en-GB"/>
              </w:rPr>
              <w:t xml:space="preserve">, </w:t>
            </w:r>
            <w:r w:rsidR="00AC34E4">
              <w:rPr>
                <w:color w:val="333333"/>
                <w:lang w:val="en-GB"/>
              </w:rPr>
              <w:t xml:space="preserve">Ủy viên UBKT, </w:t>
            </w:r>
            <w:r w:rsidR="00591AC2">
              <w:rPr>
                <w:color w:val="333333"/>
                <w:lang w:val="en-GB"/>
              </w:rPr>
              <w:t>;</w:t>
            </w:r>
          </w:p>
          <w:p w:rsidR="00591AC2" w:rsidRPr="001E3D9A" w:rsidRDefault="00591AC2" w:rsidP="00C04B4A">
            <w:pPr>
              <w:pStyle w:val="NormalWeb"/>
              <w:spacing w:before="0" w:after="0"/>
              <w:jc w:val="both"/>
              <w:rPr>
                <w:color w:val="333333"/>
                <w:lang w:val="en-GB"/>
              </w:rPr>
            </w:pPr>
            <w:r>
              <w:rPr>
                <w:color w:val="333333"/>
                <w:lang w:val="en-GB"/>
              </w:rPr>
              <w:t>- Lưu CĐ.</w:t>
            </w:r>
          </w:p>
        </w:tc>
        <w:tc>
          <w:tcPr>
            <w:tcW w:w="5004" w:type="dxa"/>
          </w:tcPr>
          <w:p w:rsidR="00591AC2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333333"/>
                <w:sz w:val="28"/>
                <w:szCs w:val="28"/>
                <w:lang w:val="en-GB"/>
              </w:rPr>
              <w:t>TM.</w:t>
            </w:r>
            <w:r w:rsidR="00C63852">
              <w:rPr>
                <w:b/>
                <w:bCs/>
                <w:color w:val="333333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color w:val="333333"/>
                <w:sz w:val="28"/>
                <w:szCs w:val="28"/>
                <w:lang w:val="en-GB"/>
              </w:rPr>
              <w:t>BAN CHẤP HÀNH</w:t>
            </w:r>
          </w:p>
          <w:p w:rsidR="00591AC2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333333"/>
                <w:sz w:val="28"/>
                <w:szCs w:val="28"/>
                <w:lang w:val="en-GB"/>
              </w:rPr>
              <w:t>CHỦ TỊCH</w:t>
            </w:r>
          </w:p>
          <w:p w:rsidR="00591AC2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</w:p>
          <w:p w:rsidR="00591AC2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</w:p>
          <w:p w:rsidR="00591AC2" w:rsidRPr="008F721E" w:rsidRDefault="008F721E" w:rsidP="00C04B4A">
            <w:pPr>
              <w:pStyle w:val="NormalWeb"/>
              <w:spacing w:before="0" w:after="0"/>
              <w:jc w:val="center"/>
              <w:rPr>
                <w:bCs/>
                <w:i/>
                <w:color w:val="333333"/>
                <w:sz w:val="28"/>
                <w:szCs w:val="28"/>
                <w:lang w:val="en-GB"/>
              </w:rPr>
            </w:pPr>
            <w:r w:rsidRPr="008F721E">
              <w:rPr>
                <w:bCs/>
                <w:i/>
                <w:color w:val="333333"/>
                <w:sz w:val="28"/>
                <w:szCs w:val="28"/>
                <w:lang w:val="en-GB"/>
              </w:rPr>
              <w:t>(đã ký)</w:t>
            </w:r>
          </w:p>
          <w:p w:rsidR="004E5D5D" w:rsidRDefault="004E5D5D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</w:p>
          <w:p w:rsidR="00591AC2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</w:p>
          <w:p w:rsidR="00591AC2" w:rsidRPr="001E3D9A" w:rsidRDefault="00591AC2" w:rsidP="00C04B4A">
            <w:pPr>
              <w:pStyle w:val="NormalWeb"/>
              <w:spacing w:before="0" w:after="0"/>
              <w:jc w:val="center"/>
              <w:rPr>
                <w:b/>
                <w:bCs/>
                <w:color w:val="333333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333333"/>
                <w:sz w:val="28"/>
                <w:szCs w:val="28"/>
                <w:lang w:val="en-GB"/>
              </w:rPr>
              <w:t xml:space="preserve">  Trần Quang Tiến</w:t>
            </w:r>
          </w:p>
        </w:tc>
      </w:tr>
    </w:tbl>
    <w:p w:rsidR="008B1CC4" w:rsidRDefault="008B1CC4" w:rsidP="00591AC2">
      <w:pPr>
        <w:jc w:val="both"/>
      </w:pPr>
    </w:p>
    <w:sectPr w:rsidR="008B1CC4" w:rsidSect="005B44EF">
      <w:pgSz w:w="12240" w:h="15840"/>
      <w:pgMar w:top="761" w:right="1008" w:bottom="3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C2"/>
    <w:rsid w:val="00063827"/>
    <w:rsid w:val="001E3D9A"/>
    <w:rsid w:val="00200C17"/>
    <w:rsid w:val="00227852"/>
    <w:rsid w:val="00273E60"/>
    <w:rsid w:val="00334016"/>
    <w:rsid w:val="00341541"/>
    <w:rsid w:val="004E5D5D"/>
    <w:rsid w:val="00591AC2"/>
    <w:rsid w:val="005B44EF"/>
    <w:rsid w:val="008B1CC4"/>
    <w:rsid w:val="008F721E"/>
    <w:rsid w:val="00A917DE"/>
    <w:rsid w:val="00AC34E4"/>
    <w:rsid w:val="00B40354"/>
    <w:rsid w:val="00B82428"/>
    <w:rsid w:val="00C04B4A"/>
    <w:rsid w:val="00C63852"/>
    <w:rsid w:val="00D90BC4"/>
    <w:rsid w:val="00E26672"/>
    <w:rsid w:val="00F26791"/>
    <w:rsid w:val="00F73998"/>
    <w:rsid w:val="00FF0756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56"/>
    <w:pPr>
      <w:spacing w:after="0" w:line="240" w:lineRule="auto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1A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91AC2"/>
    <w:rPr>
      <w:i/>
      <w:iCs/>
    </w:rPr>
  </w:style>
  <w:style w:type="paragraph" w:styleId="NormalWeb">
    <w:name w:val="Normal (Web)"/>
    <w:basedOn w:val="Normal"/>
    <w:uiPriority w:val="99"/>
    <w:rsid w:val="00591AC2"/>
    <w:pPr>
      <w:spacing w:before="150" w:after="15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91A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56"/>
    <w:pPr>
      <w:spacing w:after="0" w:line="240" w:lineRule="auto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1AC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91AC2"/>
    <w:rPr>
      <w:i/>
      <w:iCs/>
    </w:rPr>
  </w:style>
  <w:style w:type="paragraph" w:styleId="NormalWeb">
    <w:name w:val="Normal (Web)"/>
    <w:basedOn w:val="Normal"/>
    <w:uiPriority w:val="99"/>
    <w:rsid w:val="00591AC2"/>
    <w:pPr>
      <w:spacing w:before="150" w:after="15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91A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5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VIÊN CHỨC VIỆT NAM</vt:lpstr>
    </vt:vector>
  </TitlesOfParts>
  <Company>VPBCD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VIÊN CHỨC VIỆT NAM</dc:title>
  <dc:creator>Nguyen Van Hung</dc:creator>
  <cp:lastModifiedBy>PhuocHoi</cp:lastModifiedBy>
  <cp:revision>5</cp:revision>
  <cp:lastPrinted>2010-12-02T03:24:00Z</cp:lastPrinted>
  <dcterms:created xsi:type="dcterms:W3CDTF">2013-10-17T02:32:00Z</dcterms:created>
  <dcterms:modified xsi:type="dcterms:W3CDTF">2013-10-17T02:49:00Z</dcterms:modified>
</cp:coreProperties>
</file>