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Layout w:type="fixed"/>
        <w:tblLook w:val="0000"/>
      </w:tblPr>
      <w:tblGrid>
        <w:gridCol w:w="5246"/>
        <w:gridCol w:w="4394"/>
      </w:tblGrid>
      <w:tr w:rsidR="00DC2222" w:rsidRPr="008B73D7" w:rsidTr="000B4D85">
        <w:tc>
          <w:tcPr>
            <w:tcW w:w="5246" w:type="dxa"/>
          </w:tcPr>
          <w:p w:rsidR="00DC2222" w:rsidRPr="002E6B25" w:rsidRDefault="00DC2222" w:rsidP="000B4D85">
            <w:pPr>
              <w:spacing w:after="0" w:line="240" w:lineRule="auto"/>
              <w:ind w:left="-108" w:right="-108"/>
              <w:jc w:val="center"/>
              <w:rPr>
                <w:b/>
                <w:spacing w:val="-10"/>
                <w:szCs w:val="28"/>
              </w:rPr>
            </w:pPr>
            <w:r w:rsidRPr="002E6B25">
              <w:rPr>
                <w:spacing w:val="-10"/>
                <w:szCs w:val="28"/>
              </w:rPr>
              <w:t>BAN CHẤP HÀNH TRUNG ƯƠNG</w:t>
            </w:r>
          </w:p>
          <w:p w:rsidR="00DC2222" w:rsidRPr="0026543F" w:rsidRDefault="00DC2222" w:rsidP="000B4D85">
            <w:pPr>
              <w:spacing w:after="0" w:line="240" w:lineRule="auto"/>
              <w:ind w:left="-108" w:right="-108"/>
              <w:jc w:val="center"/>
              <w:rPr>
                <w:b/>
                <w:szCs w:val="36"/>
              </w:rPr>
            </w:pPr>
            <w:r w:rsidRPr="0026543F">
              <w:rPr>
                <w:b/>
                <w:szCs w:val="36"/>
              </w:rPr>
              <w:t>BAN CHỈ ĐẠO TRUNG ƯƠNG</w:t>
            </w:r>
          </w:p>
          <w:p w:rsidR="00DC2222" w:rsidRPr="0026543F" w:rsidRDefault="00DC2222" w:rsidP="000B4D85">
            <w:pPr>
              <w:spacing w:after="0" w:line="240" w:lineRule="auto"/>
              <w:ind w:left="-108" w:right="-108"/>
              <w:jc w:val="center"/>
              <w:rPr>
                <w:b/>
                <w:szCs w:val="36"/>
              </w:rPr>
            </w:pPr>
            <w:r w:rsidRPr="0026543F">
              <w:rPr>
                <w:b/>
                <w:szCs w:val="36"/>
              </w:rPr>
              <w:t>VỀ PHÒNG, CHỐNG THAM NHŨNG</w:t>
            </w:r>
          </w:p>
          <w:p w:rsidR="00DC2222" w:rsidRPr="008B73D7" w:rsidRDefault="00DC2222" w:rsidP="000B4D85">
            <w:pPr>
              <w:spacing w:after="0" w:line="240" w:lineRule="auto"/>
              <w:ind w:left="-108" w:right="-108"/>
              <w:jc w:val="center"/>
              <w:rPr>
                <w:sz w:val="30"/>
                <w:szCs w:val="36"/>
              </w:rPr>
            </w:pPr>
            <w:r w:rsidRPr="008B73D7">
              <w:rPr>
                <w:b/>
                <w:spacing w:val="-10"/>
                <w:sz w:val="30"/>
                <w:szCs w:val="36"/>
              </w:rPr>
              <w:t>*</w:t>
            </w:r>
          </w:p>
          <w:p w:rsidR="00DC2222" w:rsidRPr="005973AA" w:rsidRDefault="00DC2222" w:rsidP="00B3043C">
            <w:pPr>
              <w:spacing w:before="120" w:after="0" w:line="240" w:lineRule="auto"/>
              <w:ind w:left="-108" w:right="-142"/>
              <w:jc w:val="center"/>
              <w:rPr>
                <w:spacing w:val="-8"/>
                <w:sz w:val="30"/>
                <w:szCs w:val="36"/>
                <w:lang w:val="en-US"/>
              </w:rPr>
            </w:pPr>
            <w:r w:rsidRPr="008B73D7">
              <w:rPr>
                <w:sz w:val="30"/>
                <w:szCs w:val="36"/>
              </w:rPr>
              <w:t>Số</w:t>
            </w:r>
            <w:r w:rsidR="00B3043C">
              <w:rPr>
                <w:sz w:val="30"/>
                <w:szCs w:val="36"/>
                <w:lang w:val="en-US"/>
              </w:rPr>
              <w:t xml:space="preserve"> 14</w:t>
            </w:r>
            <w:r w:rsidRPr="008B73D7">
              <w:rPr>
                <w:spacing w:val="-8"/>
                <w:sz w:val="30"/>
                <w:szCs w:val="36"/>
              </w:rPr>
              <w:t>-BC/BCĐTW</w:t>
            </w:r>
          </w:p>
        </w:tc>
        <w:tc>
          <w:tcPr>
            <w:tcW w:w="4394" w:type="dxa"/>
          </w:tcPr>
          <w:p w:rsidR="00DC2222" w:rsidRPr="00CC6AA1" w:rsidRDefault="00DC2222" w:rsidP="000B4D85">
            <w:pPr>
              <w:spacing w:after="0" w:line="240" w:lineRule="auto"/>
              <w:ind w:left="-108" w:right="-108"/>
              <w:jc w:val="center"/>
              <w:rPr>
                <w:b/>
                <w:sz w:val="30"/>
                <w:szCs w:val="30"/>
              </w:rPr>
            </w:pPr>
            <w:r w:rsidRPr="00CC6AA1">
              <w:rPr>
                <w:b/>
                <w:sz w:val="30"/>
                <w:szCs w:val="30"/>
              </w:rPr>
              <w:t>ĐẢNG CỘNG SẢN VIỆT NAM</w:t>
            </w:r>
          </w:p>
          <w:p w:rsidR="00DC2222" w:rsidRPr="008B73D7" w:rsidRDefault="00C278D2" w:rsidP="00B3043C">
            <w:pPr>
              <w:spacing w:before="160" w:after="0" w:line="240" w:lineRule="auto"/>
              <w:ind w:left="-108" w:right="-108"/>
              <w:jc w:val="center"/>
              <w:rPr>
                <w:b/>
                <w:sz w:val="36"/>
                <w:szCs w:val="36"/>
                <w:vertAlign w:val="superscript"/>
              </w:rPr>
            </w:pPr>
            <w:r w:rsidRPr="00C278D2">
              <w:rPr>
                <w:b/>
                <w:noProof/>
                <w:sz w:val="30"/>
                <w:szCs w:val="36"/>
              </w:rPr>
              <w:pict>
                <v:line id="_x0000_s1027" style="position:absolute;left:0;text-align:left;z-index:251658240" from="4.1pt,2.3pt" to="204.85pt,2.35pt"/>
              </w:pict>
            </w:r>
            <w:r w:rsidR="00DC2222" w:rsidRPr="008B73D7">
              <w:rPr>
                <w:i/>
                <w:sz w:val="30"/>
                <w:szCs w:val="36"/>
              </w:rPr>
              <w:t xml:space="preserve">Hà Nội, ngày </w:t>
            </w:r>
            <w:r w:rsidR="00B3043C" w:rsidRPr="00B3043C">
              <w:rPr>
                <w:i/>
                <w:sz w:val="30"/>
                <w:szCs w:val="36"/>
              </w:rPr>
              <w:t>24</w:t>
            </w:r>
            <w:r w:rsidR="00DC2222" w:rsidRPr="008B73D7">
              <w:rPr>
                <w:i/>
                <w:sz w:val="30"/>
                <w:szCs w:val="36"/>
              </w:rPr>
              <w:t xml:space="preserve"> tháng 7 năm 2013</w:t>
            </w:r>
          </w:p>
        </w:tc>
      </w:tr>
    </w:tbl>
    <w:p w:rsidR="00DC2222" w:rsidRPr="00ED24C9" w:rsidRDefault="00DC2222" w:rsidP="005973AA">
      <w:pPr>
        <w:spacing w:before="480" w:after="0" w:line="240" w:lineRule="auto"/>
        <w:jc w:val="center"/>
        <w:rPr>
          <w:b/>
          <w:sz w:val="32"/>
          <w:szCs w:val="32"/>
        </w:rPr>
      </w:pPr>
      <w:r w:rsidRPr="00ED24C9">
        <w:rPr>
          <w:b/>
          <w:sz w:val="32"/>
          <w:szCs w:val="32"/>
        </w:rPr>
        <w:t>BÁO CÁO</w:t>
      </w:r>
    </w:p>
    <w:p w:rsidR="00DC2222" w:rsidRPr="00BE05B8" w:rsidRDefault="00DC2222" w:rsidP="00DC2222">
      <w:pPr>
        <w:spacing w:after="0" w:line="240" w:lineRule="auto"/>
        <w:jc w:val="center"/>
        <w:rPr>
          <w:b/>
          <w:sz w:val="30"/>
          <w:szCs w:val="30"/>
        </w:rPr>
      </w:pPr>
      <w:r w:rsidRPr="003000D2">
        <w:rPr>
          <w:b/>
          <w:sz w:val="30"/>
          <w:szCs w:val="30"/>
        </w:rPr>
        <w:t>c</w:t>
      </w:r>
      <w:r w:rsidRPr="00BE05B8">
        <w:rPr>
          <w:b/>
          <w:sz w:val="30"/>
          <w:szCs w:val="30"/>
        </w:rPr>
        <w:t>ông tác phòng, chống tham nhũng 6 tháng đầu năm</w:t>
      </w:r>
    </w:p>
    <w:p w:rsidR="00DC2222" w:rsidRPr="00BE05B8" w:rsidRDefault="00DC2222" w:rsidP="00DC2222">
      <w:pPr>
        <w:spacing w:after="0" w:line="240" w:lineRule="auto"/>
        <w:jc w:val="center"/>
        <w:rPr>
          <w:b/>
          <w:sz w:val="30"/>
          <w:szCs w:val="30"/>
        </w:rPr>
      </w:pPr>
      <w:r w:rsidRPr="00BE05B8">
        <w:rPr>
          <w:b/>
          <w:sz w:val="30"/>
          <w:szCs w:val="30"/>
        </w:rPr>
        <w:t>và nhiệm vụ công tác 6 tháng cuối năm 2013</w:t>
      </w:r>
    </w:p>
    <w:p w:rsidR="00DC2222" w:rsidRPr="00ED24C9" w:rsidRDefault="00C278D2" w:rsidP="00DC2222">
      <w:pPr>
        <w:spacing w:line="240" w:lineRule="auto"/>
        <w:jc w:val="center"/>
        <w:rPr>
          <w:rFonts w:cs="Times New Roman"/>
          <w:b/>
          <w:sz w:val="30"/>
          <w:szCs w:val="30"/>
        </w:rPr>
      </w:pPr>
      <w:r w:rsidRPr="00C278D2">
        <w:rPr>
          <w:rFonts w:cs="Times New Roman"/>
          <w:sz w:val="30"/>
          <w:szCs w:val="30"/>
        </w:rPr>
        <w:pict>
          <v:line id="_x0000_s1026" style="position:absolute;left:0;text-align:left;z-index:251660288" from="195.3pt,6.75pt" to="265pt,6.75pt"/>
        </w:pict>
      </w:r>
      <w:r w:rsidR="00DC2222" w:rsidRPr="002E6B25">
        <w:rPr>
          <w:rFonts w:cs="Times New Roman"/>
          <w:sz w:val="30"/>
          <w:szCs w:val="30"/>
        </w:rPr>
        <w:t xml:space="preserve">                    </w:t>
      </w:r>
    </w:p>
    <w:p w:rsidR="00DC2222" w:rsidRPr="00ED3F91" w:rsidRDefault="00DC2222" w:rsidP="006315CB">
      <w:pPr>
        <w:widowControl w:val="0"/>
        <w:spacing w:before="120" w:after="0" w:line="240" w:lineRule="auto"/>
        <w:ind w:firstLine="720"/>
        <w:jc w:val="both"/>
        <w:rPr>
          <w:sz w:val="30"/>
          <w:szCs w:val="30"/>
        </w:rPr>
      </w:pPr>
      <w:r w:rsidRPr="00ED3F91">
        <w:rPr>
          <w:sz w:val="30"/>
          <w:szCs w:val="30"/>
        </w:rPr>
        <w:t>Tình hình kinh tế - xã hội của đất nước 6 tháng đầ</w:t>
      </w:r>
      <w:r w:rsidR="00BF0FA0" w:rsidRPr="00ED3F91">
        <w:rPr>
          <w:sz w:val="30"/>
          <w:szCs w:val="30"/>
        </w:rPr>
        <w:t xml:space="preserve">u năm có những </w:t>
      </w:r>
      <w:r w:rsidR="00F61F5C" w:rsidRPr="00ED3F91">
        <w:rPr>
          <w:sz w:val="30"/>
          <w:szCs w:val="30"/>
        </w:rPr>
        <w:t xml:space="preserve">mặt </w:t>
      </w:r>
      <w:r w:rsidRPr="00ED3F91">
        <w:rPr>
          <w:sz w:val="30"/>
          <w:szCs w:val="30"/>
        </w:rPr>
        <w:t>chuyển biến tích cự</w:t>
      </w:r>
      <w:r w:rsidR="00F61F5C" w:rsidRPr="00ED3F91">
        <w:rPr>
          <w:sz w:val="30"/>
          <w:szCs w:val="30"/>
        </w:rPr>
        <w:t>c,</w:t>
      </w:r>
      <w:r w:rsidR="00DC20E1" w:rsidRPr="00ED3F91">
        <w:rPr>
          <w:sz w:val="30"/>
          <w:szCs w:val="30"/>
        </w:rPr>
        <w:t xml:space="preserve"> tuy nhiên </w:t>
      </w:r>
      <w:r w:rsidRPr="00ED3F91">
        <w:rPr>
          <w:sz w:val="30"/>
          <w:szCs w:val="30"/>
        </w:rPr>
        <w:t>vẫn còn nhiều khó khăn, thách thứ</w:t>
      </w:r>
      <w:r w:rsidR="00781225" w:rsidRPr="00ED3F91">
        <w:rPr>
          <w:sz w:val="30"/>
          <w:szCs w:val="30"/>
        </w:rPr>
        <w:t>c</w:t>
      </w:r>
      <w:r w:rsidR="00F61F5C" w:rsidRPr="00ED3F91">
        <w:rPr>
          <w:sz w:val="30"/>
          <w:szCs w:val="30"/>
        </w:rPr>
        <w:t>. T</w:t>
      </w:r>
      <w:r w:rsidRPr="00ED3F91">
        <w:rPr>
          <w:sz w:val="30"/>
          <w:szCs w:val="30"/>
        </w:rPr>
        <w:t xml:space="preserve">hu ngân sách đạt thấp; sản xuất, kinh doanh phục hồi chậm; đời sống, việc làm, thu nhập của một bộ phận dân cư gặp khó khăn; việc tháo gỡ khó khăn cho sản xuất kinh doanh, hỗ trợ thị trường, giải quyết nợ xấu chưa đáp ứng yêu cầu đề ra. </w:t>
      </w:r>
    </w:p>
    <w:p w:rsidR="00DC2222" w:rsidRPr="006315CB" w:rsidRDefault="00DC2222" w:rsidP="006315CB">
      <w:pPr>
        <w:widowControl w:val="0"/>
        <w:spacing w:before="120" w:after="0" w:line="240" w:lineRule="auto"/>
        <w:ind w:firstLine="720"/>
        <w:jc w:val="both"/>
        <w:rPr>
          <w:rFonts w:cs="Times New Roman"/>
          <w:bCs/>
          <w:iCs/>
          <w:sz w:val="30"/>
          <w:szCs w:val="30"/>
        </w:rPr>
      </w:pPr>
      <w:r w:rsidRPr="008C52EA">
        <w:rPr>
          <w:spacing w:val="-2"/>
          <w:sz w:val="30"/>
          <w:szCs w:val="30"/>
        </w:rPr>
        <w:t xml:space="preserve">Trong bối cảnh đó, triển khai thực hiện Nghị quyết Hội nghị lần thứ 5 Ban Chấp hành Trung ương Đảng (khóa XI), </w:t>
      </w:r>
      <w:r w:rsidRPr="008C52EA">
        <w:rPr>
          <w:rFonts w:cs="Times New Roman"/>
          <w:spacing w:val="-2"/>
          <w:sz w:val="30"/>
          <w:szCs w:val="30"/>
        </w:rPr>
        <w:t>Bộ Chính trị đã quyết định thành lập Ban Chỉ đạo Trung ương về phòng, chống tham nhũng và Ban Nội chính Trung ương - Cơ quan Thường trực của Ban Chỉ đạ</w:t>
      </w:r>
      <w:r w:rsidR="00914D77" w:rsidRPr="008C52EA">
        <w:rPr>
          <w:rFonts w:cs="Times New Roman"/>
          <w:spacing w:val="-2"/>
          <w:sz w:val="30"/>
          <w:szCs w:val="30"/>
        </w:rPr>
        <w:t>o</w:t>
      </w:r>
      <w:r w:rsidRPr="008C52EA">
        <w:rPr>
          <w:rFonts w:cs="Times New Roman"/>
          <w:spacing w:val="-2"/>
          <w:sz w:val="30"/>
          <w:szCs w:val="30"/>
        </w:rPr>
        <w:t xml:space="preserve">. Ở địa phương, Ban Thường vụ các tỉnh, thành ủy </w:t>
      </w:r>
      <w:r w:rsidRPr="008C52EA">
        <w:rPr>
          <w:rFonts w:cs="Times New Roman"/>
          <w:bCs/>
          <w:iCs/>
          <w:spacing w:val="-2"/>
          <w:sz w:val="30"/>
          <w:szCs w:val="30"/>
        </w:rPr>
        <w:t xml:space="preserve">trực thuộc Trung ương </w:t>
      </w:r>
      <w:r w:rsidRPr="008C52EA">
        <w:rPr>
          <w:rFonts w:cs="Times New Roman"/>
          <w:spacing w:val="-2"/>
          <w:sz w:val="30"/>
          <w:szCs w:val="30"/>
        </w:rPr>
        <w:t xml:space="preserve">thành lập </w:t>
      </w:r>
      <w:r w:rsidRPr="008C52EA">
        <w:rPr>
          <w:rFonts w:cs="Times New Roman"/>
          <w:bCs/>
          <w:iCs/>
          <w:spacing w:val="-2"/>
          <w:sz w:val="30"/>
          <w:szCs w:val="30"/>
        </w:rPr>
        <w:t>Ban Nội chính tỉnh ủy, thành ủy, là cơ quan tham mưu giúp tỉnh ủy, thành ủy trong công tác nội chính và phòng, chống tham nhũng (PCTN). Đồng thời, Luật sửa đổi, bổ sung một số điều của Luật PCTN có hiệu lực từ ngày 01-02-2013.</w:t>
      </w:r>
      <w:r w:rsidRPr="006315CB">
        <w:rPr>
          <w:rFonts w:cs="Times New Roman"/>
          <w:bCs/>
          <w:iCs/>
          <w:sz w:val="30"/>
          <w:szCs w:val="30"/>
        </w:rPr>
        <w:t xml:space="preserve"> Đây là những tiền đề về chính trị</w:t>
      </w:r>
      <w:r w:rsidR="00BF0FA0" w:rsidRPr="006315CB">
        <w:rPr>
          <w:rFonts w:cs="Times New Roman"/>
          <w:bCs/>
          <w:iCs/>
          <w:sz w:val="30"/>
          <w:szCs w:val="30"/>
        </w:rPr>
        <w:t xml:space="preserve">, pháp lý </w:t>
      </w:r>
      <w:r w:rsidRPr="006315CB">
        <w:rPr>
          <w:rFonts w:cs="Times New Roman"/>
          <w:bCs/>
          <w:iCs/>
          <w:sz w:val="30"/>
          <w:szCs w:val="30"/>
        </w:rPr>
        <w:t>quan trọng, tạo điều kiện thuận lợi cho việc thực hiện các nhiệm vụ PCTN năm 2013 và những năm tiếp theo. Việc này thể hiện quyết tâm, mong muốn của Đảng, Nhà nước tạo sự chuyển biến mới, rõ rệt hơn nữa trong công tác PCTN; được cán bộ, đả</w:t>
      </w:r>
      <w:r w:rsidR="008C52EA">
        <w:rPr>
          <w:rFonts w:cs="Times New Roman"/>
          <w:bCs/>
          <w:iCs/>
          <w:sz w:val="30"/>
          <w:szCs w:val="30"/>
        </w:rPr>
        <w:t>ng viên</w:t>
      </w:r>
      <w:r w:rsidR="008C52EA" w:rsidRPr="008C52EA">
        <w:rPr>
          <w:rFonts w:cs="Times New Roman"/>
          <w:bCs/>
          <w:iCs/>
          <w:sz w:val="30"/>
          <w:szCs w:val="30"/>
        </w:rPr>
        <w:t xml:space="preserve">, </w:t>
      </w:r>
      <w:r w:rsidRPr="006315CB">
        <w:rPr>
          <w:rFonts w:cs="Times New Roman"/>
          <w:bCs/>
          <w:iCs/>
          <w:sz w:val="30"/>
          <w:szCs w:val="30"/>
        </w:rPr>
        <w:t>nhân dân rất quan tâm và tin tưởng.</w:t>
      </w:r>
    </w:p>
    <w:p w:rsidR="00DC2222" w:rsidRPr="006315CB" w:rsidRDefault="00DC2222" w:rsidP="006315CB">
      <w:pPr>
        <w:spacing w:before="120" w:after="0" w:line="240" w:lineRule="auto"/>
        <w:ind w:right="-29" w:firstLine="720"/>
        <w:jc w:val="both"/>
        <w:rPr>
          <w:rFonts w:cs="Times New Roman"/>
          <w:b/>
          <w:szCs w:val="28"/>
        </w:rPr>
      </w:pPr>
      <w:r w:rsidRPr="006315CB">
        <w:rPr>
          <w:rFonts w:cs="Times New Roman"/>
          <w:b/>
          <w:szCs w:val="28"/>
        </w:rPr>
        <w:t>I. TÌNH HÌNH, KẾT QUẢ CÔNG TÁC PCTN 6 THÁNG ĐẦU NĂM</w:t>
      </w:r>
    </w:p>
    <w:p w:rsidR="00DC2222" w:rsidRPr="006315CB" w:rsidRDefault="00DC2222" w:rsidP="006315CB">
      <w:pPr>
        <w:widowControl w:val="0"/>
        <w:spacing w:before="120" w:after="0" w:line="240" w:lineRule="auto"/>
        <w:ind w:firstLine="720"/>
        <w:jc w:val="both"/>
        <w:rPr>
          <w:rFonts w:cs="Times New Roman"/>
          <w:b/>
          <w:sz w:val="30"/>
          <w:szCs w:val="30"/>
        </w:rPr>
      </w:pPr>
      <w:r w:rsidRPr="006315CB">
        <w:rPr>
          <w:rFonts w:cs="Times New Roman"/>
          <w:b/>
          <w:sz w:val="30"/>
          <w:szCs w:val="30"/>
        </w:rPr>
        <w:t>1. Sự lãnh đạo, chỉ đạo của các cấp ủy, tổ chức đảng, chính quyền đối với công tác PCTN</w:t>
      </w:r>
    </w:p>
    <w:p w:rsidR="00DC2222" w:rsidRPr="006315CB" w:rsidRDefault="00DC2222" w:rsidP="006315CB">
      <w:pPr>
        <w:autoSpaceDE w:val="0"/>
        <w:autoSpaceDN w:val="0"/>
        <w:adjustRightInd w:val="0"/>
        <w:spacing w:before="120" w:after="0" w:line="240" w:lineRule="auto"/>
        <w:ind w:firstLine="720"/>
        <w:jc w:val="both"/>
        <w:rPr>
          <w:rFonts w:cs="Times New Roman"/>
          <w:iCs/>
          <w:sz w:val="30"/>
          <w:szCs w:val="30"/>
        </w:rPr>
      </w:pPr>
      <w:r w:rsidRPr="006315CB">
        <w:rPr>
          <w:rFonts w:cs="Times New Roman"/>
          <w:iCs/>
          <w:sz w:val="30"/>
          <w:szCs w:val="30"/>
        </w:rPr>
        <w:t>Đ</w:t>
      </w:r>
      <w:r w:rsidRPr="006315CB">
        <w:rPr>
          <w:rFonts w:cs="Times New Roman"/>
          <w:sz w:val="30"/>
          <w:szCs w:val="30"/>
          <w:lang w:val="nl-NL"/>
        </w:rPr>
        <w:t>ể tăng cường sự lãnh đạo của Đảng đối với cơ quan bảo vệ pháp luật trong công tác điều tra, xử lý các vụ án, nhất là trong chỉ đạo xử lý các vụ án tham nhũng và trong giải quyết khiếu nại, tố cáo, Ban Bí thư đã giao Ban Nội chính Trung ương chủ trì tổ chức sơ kết việc thực hiện Chỉ thị số 15-CT/TW của Bộ Chính trị về sự lãnh đạo của Đảng đối với cơ quan bảo vệ pháp luật trong công tác điều tra, xử lý các vụ án và sơ kết 5 năm thực hiện Thông báo số 130-TB/TW của Bộ Chính trị về giải quyết khiếu nại, tố cáo.</w:t>
      </w:r>
    </w:p>
    <w:p w:rsidR="00DC2222" w:rsidRPr="006315CB" w:rsidRDefault="00DC2222" w:rsidP="006315CB">
      <w:pPr>
        <w:spacing w:before="120" w:after="0" w:line="360" w:lineRule="exact"/>
        <w:ind w:firstLine="720"/>
        <w:jc w:val="both"/>
        <w:rPr>
          <w:rFonts w:cs="Times New Roman"/>
          <w:sz w:val="30"/>
          <w:szCs w:val="30"/>
          <w:lang w:val="nl-NL"/>
        </w:rPr>
      </w:pPr>
      <w:r w:rsidRPr="006315CB">
        <w:rPr>
          <w:rFonts w:cs="Times New Roman"/>
          <w:sz w:val="30"/>
          <w:szCs w:val="30"/>
          <w:lang w:val="nl-NL"/>
        </w:rPr>
        <w:lastRenderedPageBreak/>
        <w:t>Nhiều cấp ủy, tổ chức đảng đã lãnh đạo, chỉ đạo ban hành Kế hoạch thực hiện Luật sửa đổi, bổ sung một số điều của Luật PCTN; Kế hoạch thực hiện Nghị quyết của Chính phủ về Chương trình hành động thực hiện Kết luận Hội nghị lần thứ 5 Ban Chấp hành Trung ương Đảng (khóa XI);</w:t>
      </w:r>
      <w:r w:rsidRPr="006315CB">
        <w:rPr>
          <w:rFonts w:cs="Times New Roman"/>
          <w:color w:val="FF0000"/>
          <w:sz w:val="30"/>
          <w:szCs w:val="30"/>
          <w:lang w:val="nl-NL"/>
        </w:rPr>
        <w:t xml:space="preserve"> </w:t>
      </w:r>
      <w:r w:rsidRPr="006315CB">
        <w:rPr>
          <w:rFonts w:cs="Times New Roman"/>
          <w:sz w:val="30"/>
          <w:szCs w:val="30"/>
          <w:lang w:val="nl-NL"/>
        </w:rPr>
        <w:t>Kế hoạch thực hiện nhiệm vụ PCTN năm 2013</w:t>
      </w:r>
      <w:r w:rsidRPr="006315CB">
        <w:rPr>
          <w:rFonts w:cs="Times New Roman"/>
          <w:sz w:val="30"/>
          <w:szCs w:val="30"/>
          <w:vertAlign w:val="superscript"/>
          <w:lang w:val="nl-NL"/>
        </w:rPr>
        <w:t>(</w:t>
      </w:r>
      <w:r w:rsidRPr="006315CB">
        <w:rPr>
          <w:rStyle w:val="FootnoteReference"/>
          <w:rFonts w:cs="Times New Roman"/>
          <w:sz w:val="30"/>
          <w:szCs w:val="30"/>
          <w:lang w:val="nl-NL"/>
        </w:rPr>
        <w:footnoteReference w:id="2"/>
      </w:r>
      <w:r w:rsidRPr="006315CB">
        <w:rPr>
          <w:rFonts w:cs="Times New Roman"/>
          <w:sz w:val="30"/>
          <w:szCs w:val="30"/>
          <w:vertAlign w:val="superscript"/>
          <w:lang w:val="nl-NL"/>
        </w:rPr>
        <w:t>)</w:t>
      </w:r>
      <w:r w:rsidRPr="006315CB">
        <w:rPr>
          <w:rFonts w:cs="Times New Roman"/>
          <w:sz w:val="30"/>
          <w:szCs w:val="30"/>
          <w:lang w:val="nl-NL"/>
        </w:rPr>
        <w:t>;</w:t>
      </w:r>
      <w:r w:rsidRPr="006315CB">
        <w:rPr>
          <w:rFonts w:cs="Times New Roman"/>
          <w:color w:val="FF0000"/>
          <w:sz w:val="30"/>
          <w:szCs w:val="30"/>
          <w:lang w:val="nl-NL"/>
        </w:rPr>
        <w:t xml:space="preserve"> </w:t>
      </w:r>
      <w:r w:rsidRPr="006315CB">
        <w:rPr>
          <w:rFonts w:cs="Times New Roman"/>
          <w:sz w:val="30"/>
          <w:szCs w:val="30"/>
          <w:lang w:val="nl-NL"/>
        </w:rPr>
        <w:t>kiểm tra, đôn đốc thực hiện nhiệm vụ PCTN của các cơ quan, tổ chức, đơn vị.</w:t>
      </w:r>
    </w:p>
    <w:p w:rsidR="00DC2222" w:rsidRPr="006315CB" w:rsidRDefault="00DC2222" w:rsidP="006315CB">
      <w:pPr>
        <w:widowControl w:val="0"/>
        <w:spacing w:before="120" w:after="0" w:line="360" w:lineRule="exact"/>
        <w:ind w:firstLine="720"/>
        <w:jc w:val="both"/>
        <w:rPr>
          <w:rFonts w:cs="Times New Roman"/>
          <w:b/>
          <w:sz w:val="30"/>
          <w:szCs w:val="30"/>
        </w:rPr>
      </w:pPr>
      <w:r w:rsidRPr="006315CB">
        <w:rPr>
          <w:rFonts w:cs="Times New Roman"/>
          <w:b/>
          <w:sz w:val="30"/>
          <w:szCs w:val="30"/>
          <w:lang w:val="nl-NL"/>
        </w:rPr>
        <w:t xml:space="preserve">2. </w:t>
      </w:r>
      <w:r w:rsidRPr="006315CB">
        <w:rPr>
          <w:rFonts w:cs="Times New Roman"/>
          <w:b/>
          <w:sz w:val="30"/>
          <w:szCs w:val="30"/>
        </w:rPr>
        <w:t>Công tác tuyên truyền, giáo dục về PCTN</w:t>
      </w:r>
    </w:p>
    <w:p w:rsidR="00DC2222" w:rsidRPr="006315CB" w:rsidRDefault="00DC2222" w:rsidP="006315CB">
      <w:pPr>
        <w:spacing w:before="120" w:after="0" w:line="360" w:lineRule="exact"/>
        <w:ind w:firstLine="720"/>
        <w:jc w:val="both"/>
        <w:rPr>
          <w:rFonts w:cs="Times New Roman"/>
          <w:sz w:val="30"/>
          <w:szCs w:val="30"/>
          <w:lang w:val="nl-NL"/>
        </w:rPr>
      </w:pPr>
      <w:r w:rsidRPr="006315CB">
        <w:rPr>
          <w:rFonts w:cs="Times New Roman"/>
          <w:sz w:val="30"/>
          <w:szCs w:val="30"/>
        </w:rPr>
        <w:t>Công tác thông tin, tuyên truyền và giáo dục về PCTN tiếp tục được các cấp ủy, tổ chức đảng, chính quyền quan tâm lãnh đạ</w:t>
      </w:r>
      <w:r w:rsidR="00914D77" w:rsidRPr="006315CB">
        <w:rPr>
          <w:rFonts w:cs="Times New Roman"/>
          <w:sz w:val="30"/>
          <w:szCs w:val="30"/>
        </w:rPr>
        <w:t xml:space="preserve">o </w:t>
      </w:r>
      <w:r w:rsidRPr="006315CB">
        <w:rPr>
          <w:rFonts w:cs="Times New Roman"/>
          <w:sz w:val="30"/>
          <w:szCs w:val="30"/>
        </w:rPr>
        <w:t xml:space="preserve">gắn với việc thực hiện Chỉ thị của Bộ Chính trị về “Tiếp tục đẩy mạnh việc học tập và làm theo tấm gương đạo đức Hồ Chí Minh”. Nội dung tuyên truyền tập trung vào việc quán triệt, phổ biến </w:t>
      </w:r>
      <w:r w:rsidRPr="006315CB">
        <w:rPr>
          <w:rFonts w:cs="Times New Roman"/>
          <w:bCs/>
          <w:sz w:val="30"/>
          <w:szCs w:val="30"/>
        </w:rPr>
        <w:t xml:space="preserve">Nghị quyết Hội nghị lần thứ 4 Ban Chấp hành Trung ương Đảng (khóa XI) “Một số vấn đề cấp bách về xây dựng Đảng hiện nay”; Kết luận Hội nghị lần thứ 5 Ban Chấp hành Trung ương Đảng (khóa XI); Luật sửa đổi, bổ sung một số điều của Luật PCTN; Chương trình hành động của Chính phủ thực hiện Kết luận Hội nghị lần thứ 5 Ban Chấp hành Trung ương Đảng (khóa XI). </w:t>
      </w:r>
      <w:r w:rsidRPr="006315CB">
        <w:rPr>
          <w:rFonts w:cs="Times New Roman"/>
          <w:sz w:val="30"/>
          <w:szCs w:val="30"/>
          <w:lang w:val="nl-NL"/>
        </w:rPr>
        <w:t>Nhiều hình thức thông tin, tuyên truyền phong phú được thực hiện, như: tổ chức các cuộc họp, hội nghị, lớp học để phổ biến, tuyên truyền về PCTN; phát sóng các chương trình về chủ đề PCTN trên đài phát thanh, truyền hình; xây dựng phim tài liệu về PCTN; tổ chức thi tìm hiểu pháp luật PCTN; tổ chức chương trình sáng kiến về PCTN</w:t>
      </w:r>
      <w:r w:rsidRPr="006315CB">
        <w:rPr>
          <w:rFonts w:cs="Times New Roman"/>
          <w:sz w:val="30"/>
          <w:szCs w:val="30"/>
          <w:vertAlign w:val="superscript"/>
          <w:lang w:val="nl-NL"/>
        </w:rPr>
        <w:t>(</w:t>
      </w:r>
      <w:r w:rsidRPr="006315CB">
        <w:rPr>
          <w:rStyle w:val="FootnoteReference"/>
          <w:rFonts w:cs="Times New Roman"/>
          <w:sz w:val="30"/>
          <w:szCs w:val="30"/>
          <w:lang w:val="nl-NL"/>
        </w:rPr>
        <w:footnoteReference w:id="3"/>
      </w:r>
      <w:r w:rsidRPr="006315CB">
        <w:rPr>
          <w:rFonts w:cs="Times New Roman"/>
          <w:sz w:val="30"/>
          <w:szCs w:val="30"/>
          <w:vertAlign w:val="superscript"/>
          <w:lang w:val="nl-NL"/>
        </w:rPr>
        <w:t>)</w:t>
      </w:r>
      <w:r w:rsidRPr="006315CB">
        <w:rPr>
          <w:rFonts w:cs="Times New Roman"/>
          <w:sz w:val="30"/>
          <w:szCs w:val="30"/>
          <w:lang w:val="nl-NL"/>
        </w:rPr>
        <w:t xml:space="preserve">. Để tiếp tục triển khai </w:t>
      </w:r>
      <w:r w:rsidRPr="006315CB">
        <w:rPr>
          <w:rFonts w:cs="Times New Roman"/>
          <w:sz w:val="30"/>
          <w:szCs w:val="30"/>
        </w:rPr>
        <w:t>Đề án đưa nội dung PCTN vào chương trình giáo dục, đào tạo, bồi dưỡng</w:t>
      </w:r>
      <w:r w:rsidRPr="006315CB">
        <w:rPr>
          <w:rFonts w:cs="Times New Roman"/>
          <w:sz w:val="30"/>
          <w:szCs w:val="30"/>
          <w:lang w:val="nl-NL"/>
        </w:rPr>
        <w:t xml:space="preserve">, </w:t>
      </w:r>
      <w:r w:rsidRPr="006315CB">
        <w:rPr>
          <w:rFonts w:cs="Times New Roman"/>
          <w:sz w:val="30"/>
          <w:szCs w:val="30"/>
          <w:lang w:val="sv-SE"/>
        </w:rPr>
        <w:t>Thủ tướng Chính phủ đã ban hành Chỉ thị về việc đưa nội dung PCTN vào giảng dạy tại các cơ sở giáo dục, đào tạo.</w:t>
      </w:r>
    </w:p>
    <w:p w:rsidR="00DC2222" w:rsidRPr="006315CB" w:rsidRDefault="00DC2222" w:rsidP="006315CB">
      <w:pPr>
        <w:spacing w:before="120" w:after="0" w:line="360" w:lineRule="exact"/>
        <w:ind w:firstLine="720"/>
        <w:jc w:val="both"/>
        <w:rPr>
          <w:rFonts w:cs="Times New Roman"/>
          <w:bCs/>
          <w:sz w:val="30"/>
          <w:szCs w:val="30"/>
          <w:lang w:val="nl-NL"/>
        </w:rPr>
      </w:pPr>
      <w:r w:rsidRPr="006315CB">
        <w:rPr>
          <w:rFonts w:cs="Times New Roman"/>
          <w:bCs/>
          <w:sz w:val="30"/>
          <w:szCs w:val="30"/>
          <w:lang w:val="nl-NL"/>
        </w:rPr>
        <w:t xml:space="preserve">Nhiều </w:t>
      </w:r>
      <w:r w:rsidRPr="006315CB">
        <w:rPr>
          <w:rFonts w:cs="Times New Roman"/>
          <w:bCs/>
          <w:sz w:val="30"/>
          <w:szCs w:val="30"/>
        </w:rPr>
        <w:t>cơ quan thông tấn</w:t>
      </w:r>
      <w:r w:rsidRPr="006315CB">
        <w:rPr>
          <w:rFonts w:cs="Times New Roman"/>
          <w:bCs/>
          <w:sz w:val="30"/>
          <w:szCs w:val="30"/>
          <w:lang w:val="nl-NL"/>
        </w:rPr>
        <w:t xml:space="preserve">, </w:t>
      </w:r>
      <w:r w:rsidRPr="006315CB">
        <w:rPr>
          <w:rFonts w:cs="Times New Roman"/>
          <w:bCs/>
          <w:sz w:val="30"/>
          <w:szCs w:val="30"/>
        </w:rPr>
        <w:t xml:space="preserve">báo chí </w:t>
      </w:r>
      <w:r w:rsidRPr="006315CB">
        <w:rPr>
          <w:rFonts w:cs="Times New Roman"/>
          <w:bCs/>
          <w:sz w:val="30"/>
          <w:szCs w:val="30"/>
          <w:lang w:val="nl-NL"/>
        </w:rPr>
        <w:t xml:space="preserve">của </w:t>
      </w:r>
      <w:r w:rsidRPr="006315CB">
        <w:rPr>
          <w:rFonts w:cs="Times New Roman"/>
          <w:bCs/>
          <w:sz w:val="30"/>
          <w:szCs w:val="30"/>
        </w:rPr>
        <w:t>Trung ương và địa phương</w:t>
      </w:r>
      <w:r w:rsidRPr="006315CB">
        <w:rPr>
          <w:rFonts w:cs="Times New Roman"/>
          <w:bCs/>
          <w:sz w:val="30"/>
          <w:szCs w:val="30"/>
          <w:lang w:val="nl-NL"/>
        </w:rPr>
        <w:t xml:space="preserve"> chú ý đưa </w:t>
      </w:r>
      <w:r w:rsidRPr="006315CB">
        <w:rPr>
          <w:rFonts w:eastAsia="Arial" w:cs="Times New Roman"/>
          <w:sz w:val="30"/>
          <w:szCs w:val="30"/>
        </w:rPr>
        <w:t>tin, b</w:t>
      </w:r>
      <w:r w:rsidR="00914D77" w:rsidRPr="006315CB">
        <w:rPr>
          <w:rFonts w:eastAsia="Arial" w:cs="Times New Roman"/>
          <w:sz w:val="30"/>
          <w:szCs w:val="30"/>
          <w:lang w:val="nl-NL"/>
        </w:rPr>
        <w:t xml:space="preserve">ài </w:t>
      </w:r>
      <w:r w:rsidRPr="006315CB">
        <w:rPr>
          <w:rFonts w:eastAsia="Arial" w:cs="Times New Roman"/>
          <w:sz w:val="30"/>
          <w:szCs w:val="30"/>
          <w:lang w:val="nl-NL"/>
        </w:rPr>
        <w:t xml:space="preserve">phản ánh </w:t>
      </w:r>
      <w:r w:rsidRPr="006315CB">
        <w:rPr>
          <w:rFonts w:eastAsia="Arial" w:cs="Times New Roman"/>
          <w:sz w:val="30"/>
          <w:szCs w:val="30"/>
        </w:rPr>
        <w:t>về công tác</w:t>
      </w:r>
      <w:r w:rsidRPr="006315CB">
        <w:rPr>
          <w:rFonts w:eastAsia="Arial" w:cs="Times New Roman"/>
          <w:sz w:val="30"/>
          <w:szCs w:val="30"/>
          <w:lang w:val="nl-NL"/>
        </w:rPr>
        <w:t xml:space="preserve"> PCTN,</w:t>
      </w:r>
      <w:r w:rsidRPr="006315CB">
        <w:rPr>
          <w:rFonts w:cs="Times New Roman"/>
          <w:sz w:val="30"/>
          <w:szCs w:val="30"/>
          <w:lang w:val="nl-NL"/>
        </w:rPr>
        <w:t xml:space="preserve"> tập trung vào các chủ đề như: sự lãnh đạo của Đảng, Nhà nước đối với c</w:t>
      </w:r>
      <w:r w:rsidRPr="006315CB">
        <w:rPr>
          <w:rFonts w:eastAsia="Arial" w:cs="Times New Roman"/>
          <w:sz w:val="30"/>
          <w:szCs w:val="30"/>
        </w:rPr>
        <w:t>ông</w:t>
      </w:r>
      <w:r w:rsidRPr="006315CB">
        <w:rPr>
          <w:rFonts w:eastAsia="Arial" w:cs="Times New Roman"/>
          <w:i/>
          <w:sz w:val="30"/>
          <w:szCs w:val="30"/>
        </w:rPr>
        <w:t xml:space="preserve"> </w:t>
      </w:r>
      <w:r w:rsidRPr="006315CB">
        <w:rPr>
          <w:rFonts w:eastAsia="Arial" w:cs="Times New Roman"/>
          <w:sz w:val="30"/>
          <w:szCs w:val="30"/>
        </w:rPr>
        <w:t xml:space="preserve">tác </w:t>
      </w:r>
      <w:r w:rsidRPr="006315CB">
        <w:rPr>
          <w:rFonts w:eastAsia="Arial" w:cs="Times New Roman"/>
          <w:sz w:val="30"/>
          <w:szCs w:val="30"/>
          <w:lang w:val="nl-NL"/>
        </w:rPr>
        <w:t>PCTN</w:t>
      </w:r>
      <w:r w:rsidRPr="006315CB">
        <w:rPr>
          <w:rFonts w:eastAsia="Arial" w:cs="Times New Roman"/>
          <w:sz w:val="30"/>
          <w:szCs w:val="30"/>
        </w:rPr>
        <w:t>;</w:t>
      </w:r>
      <w:r w:rsidRPr="006315CB">
        <w:rPr>
          <w:rFonts w:eastAsia="Arial" w:cs="Times New Roman"/>
          <w:sz w:val="30"/>
          <w:szCs w:val="30"/>
          <w:lang w:val="nl-NL"/>
        </w:rPr>
        <w:t xml:space="preserve"> công tác xây dựng và hoàn thiện thể chế về PCTN; </w:t>
      </w:r>
      <w:r w:rsidRPr="006315CB">
        <w:rPr>
          <w:rFonts w:cs="Times New Roman"/>
          <w:bCs/>
          <w:sz w:val="30"/>
          <w:szCs w:val="30"/>
          <w:lang w:val="nl-NL"/>
        </w:rPr>
        <w:t xml:space="preserve">việc thực hiện các giải pháp </w:t>
      </w:r>
      <w:r w:rsidRPr="006315CB">
        <w:rPr>
          <w:rFonts w:cs="Times New Roman"/>
          <w:bCs/>
          <w:sz w:val="30"/>
          <w:szCs w:val="30"/>
        </w:rPr>
        <w:t xml:space="preserve">phòng ngừa tham nhũng; </w:t>
      </w:r>
      <w:r w:rsidRPr="006315CB">
        <w:rPr>
          <w:rFonts w:cs="Times New Roman"/>
          <w:bCs/>
          <w:sz w:val="30"/>
          <w:szCs w:val="30"/>
          <w:lang w:val="nl-NL"/>
        </w:rPr>
        <w:t xml:space="preserve">công tác </w:t>
      </w:r>
      <w:r w:rsidRPr="006315CB">
        <w:rPr>
          <w:rFonts w:cs="Times New Roman"/>
          <w:bCs/>
          <w:sz w:val="30"/>
          <w:szCs w:val="30"/>
        </w:rPr>
        <w:t xml:space="preserve">thanh tra, kiểm tra, điều tra, truy tố, xét xử các vụ </w:t>
      </w:r>
      <w:r w:rsidRPr="006315CB">
        <w:rPr>
          <w:rFonts w:cs="Times New Roman"/>
          <w:bCs/>
          <w:sz w:val="30"/>
          <w:szCs w:val="30"/>
          <w:lang w:val="nl-NL"/>
        </w:rPr>
        <w:t>việc, vụ án tham nhũng</w:t>
      </w:r>
      <w:r w:rsidRPr="006315CB">
        <w:rPr>
          <w:rFonts w:cs="Times New Roman"/>
          <w:bCs/>
          <w:sz w:val="30"/>
          <w:szCs w:val="30"/>
        </w:rPr>
        <w:t xml:space="preserve">; kinh nghiệm </w:t>
      </w:r>
      <w:r w:rsidRPr="006315CB">
        <w:rPr>
          <w:rFonts w:cs="Times New Roman"/>
          <w:bCs/>
          <w:sz w:val="30"/>
          <w:szCs w:val="30"/>
          <w:lang w:val="nl-NL"/>
        </w:rPr>
        <w:t>quốc tế về PCTN. T</w:t>
      </w:r>
      <w:r w:rsidRPr="006315CB">
        <w:rPr>
          <w:rFonts w:cs="Times New Roman"/>
          <w:sz w:val="30"/>
          <w:szCs w:val="30"/>
          <w:lang w:val="nl-NL"/>
        </w:rPr>
        <w:t>uyên truyền về PCTN được xác định là một trong những nhiệm vụ thường xuyên của các cơ quan thông tấn, báo chí ở Trung ương và địa phương</w:t>
      </w:r>
      <w:r w:rsidRPr="006315CB">
        <w:rPr>
          <w:rFonts w:cs="Times New Roman"/>
          <w:sz w:val="30"/>
          <w:szCs w:val="30"/>
          <w:vertAlign w:val="superscript"/>
          <w:lang w:val="nl-NL"/>
        </w:rPr>
        <w:t>(</w:t>
      </w:r>
      <w:r w:rsidRPr="006315CB">
        <w:rPr>
          <w:rStyle w:val="FootnoteReference"/>
          <w:rFonts w:cs="Times New Roman"/>
          <w:sz w:val="30"/>
          <w:szCs w:val="30"/>
          <w:lang w:val="nl-NL"/>
        </w:rPr>
        <w:footnoteReference w:id="4"/>
      </w:r>
      <w:r w:rsidRPr="006315CB">
        <w:rPr>
          <w:rFonts w:cs="Times New Roman"/>
          <w:sz w:val="30"/>
          <w:szCs w:val="30"/>
          <w:vertAlign w:val="superscript"/>
          <w:lang w:val="nl-NL"/>
        </w:rPr>
        <w:t>)</w:t>
      </w:r>
      <w:r w:rsidRPr="006315CB">
        <w:rPr>
          <w:rFonts w:cs="Times New Roman"/>
          <w:sz w:val="30"/>
          <w:szCs w:val="30"/>
          <w:lang w:val="nl-NL"/>
        </w:rPr>
        <w:t xml:space="preserve">. </w:t>
      </w:r>
    </w:p>
    <w:p w:rsidR="00DC2222" w:rsidRPr="006315CB" w:rsidRDefault="00DC2222" w:rsidP="00B25761">
      <w:pPr>
        <w:spacing w:before="120" w:after="0" w:line="340" w:lineRule="exact"/>
        <w:ind w:firstLine="720"/>
        <w:jc w:val="both"/>
        <w:rPr>
          <w:rFonts w:cs="Times New Roman"/>
          <w:b/>
          <w:sz w:val="30"/>
          <w:szCs w:val="30"/>
          <w:lang w:val="nl-NL"/>
        </w:rPr>
      </w:pPr>
      <w:r w:rsidRPr="006315CB">
        <w:rPr>
          <w:rFonts w:cs="Times New Roman"/>
          <w:b/>
          <w:sz w:val="30"/>
          <w:szCs w:val="30"/>
          <w:lang w:val="nl-NL"/>
        </w:rPr>
        <w:lastRenderedPageBreak/>
        <w:t>3. Xây dựng, hoàn thiện thể chế về PCTN</w:t>
      </w:r>
    </w:p>
    <w:p w:rsidR="00DC2222" w:rsidRPr="006315CB" w:rsidRDefault="00DC2222" w:rsidP="00B25761">
      <w:pPr>
        <w:widowControl w:val="0"/>
        <w:spacing w:before="120" w:after="0" w:line="340" w:lineRule="exact"/>
        <w:ind w:firstLine="720"/>
        <w:jc w:val="both"/>
        <w:rPr>
          <w:rFonts w:cs="Times New Roman"/>
          <w:color w:val="FF0000"/>
          <w:sz w:val="30"/>
          <w:szCs w:val="30"/>
          <w:lang w:val="sv-SE"/>
        </w:rPr>
      </w:pPr>
      <w:r w:rsidRPr="006315CB">
        <w:rPr>
          <w:rFonts w:cs="Times New Roman"/>
          <w:sz w:val="30"/>
          <w:szCs w:val="30"/>
          <w:lang w:val="nl-NL"/>
        </w:rPr>
        <w:t xml:space="preserve">Ban Tổ chức Trung ương </w:t>
      </w:r>
      <w:r w:rsidRPr="006315CB">
        <w:rPr>
          <w:rFonts w:cs="Times New Roman"/>
          <w:sz w:val="30"/>
          <w:szCs w:val="30"/>
          <w:lang w:val="sv-SE"/>
        </w:rPr>
        <w:t>đã xây dựng, trình Bộ Chính trị ban hành Quyết định thành lập, Quy định về chức năng, nhiệm vụ, quyền hạn, chế độ làm việc, quan hệ công tác của Ban Chỉ đạo Trung ương</w:t>
      </w:r>
      <w:r w:rsidR="00E845FF" w:rsidRPr="006315CB">
        <w:rPr>
          <w:rFonts w:cs="Times New Roman"/>
          <w:sz w:val="30"/>
          <w:szCs w:val="30"/>
          <w:lang w:val="sv-SE"/>
        </w:rPr>
        <w:t xml:space="preserve"> về PCTN</w:t>
      </w:r>
      <w:r w:rsidRPr="006315CB">
        <w:rPr>
          <w:rFonts w:cs="Times New Roman"/>
          <w:sz w:val="30"/>
          <w:szCs w:val="30"/>
          <w:lang w:val="sv-SE"/>
        </w:rPr>
        <w:t>; Quyết định thành lập</w:t>
      </w:r>
      <w:r w:rsidR="00E845FF" w:rsidRPr="006315CB">
        <w:rPr>
          <w:rFonts w:cs="Times New Roman"/>
          <w:sz w:val="30"/>
          <w:szCs w:val="30"/>
          <w:lang w:val="sv-SE"/>
        </w:rPr>
        <w:t xml:space="preserve"> và </w:t>
      </w:r>
      <w:r w:rsidRPr="006315CB">
        <w:rPr>
          <w:rFonts w:cs="Times New Roman"/>
          <w:sz w:val="30"/>
          <w:szCs w:val="30"/>
          <w:lang w:val="sv-SE"/>
        </w:rPr>
        <w:t xml:space="preserve">chức năng, nhiệm vụ, tổ chức bộ máy của Ban Nội chính Trung ương; xây dựng trình Ban Bí thư ban hành Quy định về chức năng, nhiệm vụ, tổ chức bộ máy của Ban Nội chính tỉnh ủy, thành ủy. Ủy ban Kiểm tra Trung ương đã tham mưu, trình Bộ Chính trị ban hành Quy định số 181-QĐ/TW về xử lý kỷ luật đảng viên vi phạm; xây dựng, ban hành Hướng dẫn thực hiện một số điều của Quy định số 181-QĐ/TW; đang xây dựng để trình Bộ Chính trị, Ban Bí thư ban hành Quy định giải quyết tố cáo, Quy định về giám sát cán bộ thuộc diện Bộ Chính trị, Ban Bí thư quản lý. </w:t>
      </w:r>
    </w:p>
    <w:p w:rsidR="00DC2222" w:rsidRPr="006315CB" w:rsidRDefault="00DC2222" w:rsidP="00B25761">
      <w:pPr>
        <w:widowControl w:val="0"/>
        <w:spacing w:before="120" w:after="0" w:line="340" w:lineRule="exact"/>
        <w:ind w:firstLine="720"/>
        <w:jc w:val="both"/>
        <w:rPr>
          <w:rFonts w:cs="Times New Roman"/>
          <w:sz w:val="30"/>
          <w:szCs w:val="30"/>
          <w:lang w:val="sv-SE"/>
        </w:rPr>
      </w:pPr>
      <w:r w:rsidRPr="006315CB">
        <w:rPr>
          <w:rFonts w:cs="Times New Roman"/>
          <w:sz w:val="30"/>
          <w:szCs w:val="30"/>
          <w:lang w:val="sv-SE"/>
        </w:rPr>
        <w:t>Chính phủ ban hành Nghị định quy định chi tiết một số điều của Luật PCTN</w:t>
      </w:r>
      <w:r w:rsidR="00DB6BE7" w:rsidRPr="006315CB">
        <w:rPr>
          <w:rFonts w:cs="Times New Roman"/>
          <w:sz w:val="30"/>
          <w:szCs w:val="30"/>
          <w:lang w:val="sv-SE"/>
        </w:rPr>
        <w:t>; Nghị định về minh bạch tài sản, thu nhập</w:t>
      </w:r>
      <w:r w:rsidRPr="006315CB">
        <w:rPr>
          <w:rFonts w:cs="Times New Roman"/>
          <w:sz w:val="30"/>
          <w:szCs w:val="30"/>
          <w:lang w:val="sv-SE"/>
        </w:rPr>
        <w:t>.</w:t>
      </w:r>
      <w:r w:rsidR="00DB6BE7" w:rsidRPr="006315CB">
        <w:rPr>
          <w:rFonts w:cs="Times New Roman"/>
          <w:sz w:val="30"/>
          <w:szCs w:val="30"/>
          <w:lang w:val="sv-SE"/>
        </w:rPr>
        <w:t xml:space="preserve"> </w:t>
      </w:r>
      <w:r w:rsidRPr="006315CB">
        <w:rPr>
          <w:rFonts w:cs="Times New Roman"/>
          <w:sz w:val="30"/>
          <w:szCs w:val="30"/>
          <w:lang w:val="sv-SE"/>
        </w:rPr>
        <w:t>Thanh tra Chính phủ ban hành Thông tư quy định chế độ báo cáo công tác thanh tra, giải quyết khiếu nại, tố cáo và PCTN; đang hoàn thiện, trình Chính phủ dự thảo Nghị định quy định trách nhiệm giải trình củ</w:t>
      </w:r>
      <w:r w:rsidR="00F714F6" w:rsidRPr="006315CB">
        <w:rPr>
          <w:rFonts w:cs="Times New Roman"/>
          <w:sz w:val="30"/>
          <w:szCs w:val="30"/>
          <w:lang w:val="sv-SE"/>
        </w:rPr>
        <w:t xml:space="preserve">a cán bộ, công chức, người đứng đầu cơ quan, tổ chức, đơn vị </w:t>
      </w:r>
      <w:r w:rsidRPr="006315CB">
        <w:rPr>
          <w:rFonts w:cs="Times New Roman"/>
          <w:sz w:val="30"/>
          <w:szCs w:val="30"/>
          <w:lang w:val="sv-SE"/>
        </w:rPr>
        <w:t>trong việc thực hiện nhiệm vụ, công v</w:t>
      </w:r>
      <w:r w:rsidR="00DB6BE7" w:rsidRPr="006315CB">
        <w:rPr>
          <w:rFonts w:cs="Times New Roman"/>
          <w:sz w:val="30"/>
          <w:szCs w:val="30"/>
          <w:lang w:val="sv-SE"/>
        </w:rPr>
        <w:t>ụ</w:t>
      </w:r>
      <w:r w:rsidRPr="006315CB">
        <w:rPr>
          <w:rFonts w:cs="Times New Roman"/>
          <w:sz w:val="30"/>
          <w:szCs w:val="30"/>
          <w:lang w:val="sv-SE"/>
        </w:rPr>
        <w:t xml:space="preserve">. </w:t>
      </w:r>
    </w:p>
    <w:p w:rsidR="00DC2222" w:rsidRPr="006315CB" w:rsidRDefault="00DC2222" w:rsidP="00B25761">
      <w:pPr>
        <w:spacing w:before="120" w:after="0" w:line="340" w:lineRule="exact"/>
        <w:ind w:firstLine="720"/>
        <w:jc w:val="both"/>
        <w:rPr>
          <w:rFonts w:cs="Times New Roman"/>
          <w:sz w:val="30"/>
          <w:szCs w:val="30"/>
          <w:lang w:val="nl-NL"/>
        </w:rPr>
      </w:pPr>
      <w:r w:rsidRPr="006315CB">
        <w:rPr>
          <w:rFonts w:cs="Times New Roman"/>
          <w:b/>
          <w:sz w:val="30"/>
          <w:szCs w:val="30"/>
          <w:lang w:val="nl-NL"/>
        </w:rPr>
        <w:t>4. Thực hiện các giải pháp phòng ngừa tham nhũng</w:t>
      </w:r>
    </w:p>
    <w:p w:rsidR="00DC2222" w:rsidRPr="006315CB" w:rsidRDefault="00DC2222" w:rsidP="00B25761">
      <w:pPr>
        <w:spacing w:before="120" w:after="0" w:line="340" w:lineRule="exact"/>
        <w:ind w:firstLine="720"/>
        <w:jc w:val="both"/>
        <w:rPr>
          <w:rFonts w:cs="Times New Roman"/>
          <w:sz w:val="30"/>
          <w:szCs w:val="30"/>
        </w:rPr>
      </w:pPr>
      <w:r w:rsidRPr="006315CB">
        <w:rPr>
          <w:rFonts w:cs="Times New Roman"/>
          <w:i/>
          <w:sz w:val="30"/>
          <w:szCs w:val="30"/>
          <w:lang w:val="de-DE"/>
        </w:rPr>
        <w:t xml:space="preserve">Về </w:t>
      </w:r>
      <w:r w:rsidRPr="006315CB">
        <w:rPr>
          <w:rFonts w:cs="Times New Roman"/>
          <w:i/>
          <w:sz w:val="30"/>
          <w:szCs w:val="30"/>
          <w:lang w:val="nl-NL"/>
        </w:rPr>
        <w:t>công khai, minh bạch trong hoạt động của các cơ quan, tổ chức, đơn vị</w:t>
      </w:r>
      <w:r w:rsidRPr="006315CB">
        <w:rPr>
          <w:rFonts w:cs="Times New Roman"/>
          <w:sz w:val="30"/>
          <w:szCs w:val="30"/>
          <w:lang w:val="nl-NL"/>
        </w:rPr>
        <w:t xml:space="preserve">: </w:t>
      </w:r>
      <w:r w:rsidRPr="006315CB">
        <w:rPr>
          <w:rFonts w:cs="Times New Roman"/>
          <w:sz w:val="30"/>
          <w:szCs w:val="30"/>
        </w:rPr>
        <w:t>Chính phủ và nhiều bộ, ngành, địa phương đã tổ chức họp báo định kỳ để cung cấp thông tin cho báo chí; đăng tải các văn bản</w:t>
      </w:r>
      <w:r w:rsidRPr="006315CB">
        <w:rPr>
          <w:rFonts w:cs="Times New Roman"/>
          <w:sz w:val="30"/>
          <w:szCs w:val="30"/>
          <w:lang w:val="nl-NL"/>
        </w:rPr>
        <w:t xml:space="preserve">, </w:t>
      </w:r>
      <w:r w:rsidRPr="006315CB">
        <w:rPr>
          <w:rFonts w:cs="Times New Roman"/>
          <w:sz w:val="30"/>
          <w:szCs w:val="30"/>
        </w:rPr>
        <w:t>thông tin về cơ chế, chính sách trên cổng thông tin điện tử; qua đó tạo điều kiện thuận lợi để người dân, doanh nghiệp, các cơ quan, tổ chức nắm bắt thông tin cũng như giám sát hoạt động của cơ quan nhà nước. Trên cơ sở kết quả tổ chức thí điểm thi tuyển công chức trên máy vi tính của Bộ Nội vụ, Chính phủ đã yêu cầu các bộ, ngành, địa phương triển khai và nhân rộng hình thức thi tuyển công chức và thi tuyển các chức danh lãnh đạo, quản lý trên máy vi tính, giúp tăng cường tính công khai, minh bạch trong công tác cán bộ. Công tác kiểm tra việc thực hiện các quy định của pháp luật về công khai, minh bạch cũng được các bộ, ngành, địa phương quan tâm thực hiện, nhằm phát hiện sai phạm để chấn chỉnh kịp thời</w:t>
      </w:r>
      <w:r w:rsidRPr="006315CB">
        <w:rPr>
          <w:rFonts w:cs="Times New Roman"/>
          <w:sz w:val="30"/>
          <w:szCs w:val="30"/>
          <w:vertAlign w:val="superscript"/>
        </w:rPr>
        <w:t>(</w:t>
      </w:r>
      <w:r w:rsidRPr="006315CB">
        <w:rPr>
          <w:rStyle w:val="FootnoteReference"/>
          <w:rFonts w:cs="Times New Roman"/>
          <w:sz w:val="30"/>
          <w:szCs w:val="30"/>
        </w:rPr>
        <w:footnoteReference w:id="5"/>
      </w:r>
      <w:r w:rsidRPr="006315CB">
        <w:rPr>
          <w:rFonts w:cs="Times New Roman"/>
          <w:sz w:val="30"/>
          <w:szCs w:val="30"/>
          <w:vertAlign w:val="superscript"/>
        </w:rPr>
        <w:t>)</w:t>
      </w:r>
      <w:r w:rsidRPr="006315CB">
        <w:rPr>
          <w:rFonts w:cs="Times New Roman"/>
          <w:sz w:val="30"/>
          <w:szCs w:val="30"/>
        </w:rPr>
        <w:t xml:space="preserve">. </w:t>
      </w:r>
    </w:p>
    <w:p w:rsidR="00DC2222" w:rsidRPr="006315CB" w:rsidRDefault="00DC2222" w:rsidP="00B25761">
      <w:pPr>
        <w:spacing w:before="120" w:after="0" w:line="340" w:lineRule="exact"/>
        <w:ind w:firstLine="720"/>
        <w:jc w:val="both"/>
        <w:rPr>
          <w:rFonts w:eastAsia="Times New Roman" w:cs="Times New Roman"/>
          <w:sz w:val="30"/>
          <w:szCs w:val="30"/>
          <w:lang w:val="da-DK" w:eastAsia="vi-VN"/>
        </w:rPr>
      </w:pPr>
      <w:r w:rsidRPr="006315CB">
        <w:rPr>
          <w:rFonts w:cs="Times New Roman"/>
          <w:i/>
          <w:sz w:val="30"/>
          <w:szCs w:val="30"/>
          <w:lang w:val="da-DK"/>
        </w:rPr>
        <w:t>X</w:t>
      </w:r>
      <w:r w:rsidRPr="006315CB">
        <w:rPr>
          <w:rFonts w:cs="Times New Roman"/>
          <w:i/>
          <w:sz w:val="30"/>
          <w:szCs w:val="30"/>
          <w:lang w:val="nl-NL"/>
        </w:rPr>
        <w:t xml:space="preserve">ây dựng và thực hiện quy tắc ứng xử, quy tắc đạo đức nghề nghiệp của cán bộ, công chức, viên chức: </w:t>
      </w:r>
      <w:r w:rsidRPr="006315CB">
        <w:rPr>
          <w:rFonts w:cs="Times New Roman"/>
          <w:sz w:val="30"/>
          <w:szCs w:val="30"/>
          <w:lang w:val="nl-NL"/>
        </w:rPr>
        <w:t>C</w:t>
      </w:r>
      <w:r w:rsidRPr="006315CB">
        <w:rPr>
          <w:rFonts w:cs="Times New Roman"/>
          <w:sz w:val="30"/>
          <w:szCs w:val="30"/>
        </w:rPr>
        <w:t>ác bộ, ngành, địa phương đã ban hàn</w:t>
      </w:r>
      <w:r w:rsidRPr="006315CB">
        <w:rPr>
          <w:rFonts w:cs="Times New Roman"/>
          <w:sz w:val="30"/>
          <w:szCs w:val="30"/>
          <w:lang w:val="da-DK"/>
        </w:rPr>
        <w:t xml:space="preserve">h và tổ chức thực hiện </w:t>
      </w:r>
      <w:r w:rsidRPr="006315CB">
        <w:rPr>
          <w:rFonts w:cs="Times New Roman"/>
          <w:sz w:val="30"/>
          <w:szCs w:val="30"/>
        </w:rPr>
        <w:t xml:space="preserve">quy tắc ứng xử của cán bộ, công chức, viên chức trong thi hành nhiệm vụ, công vụ và trong quan hệ xã hội; thường xuyên kiểm tra việc thực hiện quy tắc ứng xử tại các cơ quan, tổ chức, đơn vị để chấn chỉnh </w:t>
      </w:r>
      <w:r w:rsidRPr="006315CB">
        <w:rPr>
          <w:rFonts w:cs="Times New Roman"/>
          <w:sz w:val="30"/>
          <w:szCs w:val="30"/>
        </w:rPr>
        <w:lastRenderedPageBreak/>
        <w:t>các sai phạm</w:t>
      </w:r>
      <w:r w:rsidRPr="006315CB">
        <w:rPr>
          <w:rFonts w:cs="Times New Roman"/>
          <w:sz w:val="30"/>
          <w:szCs w:val="30"/>
          <w:vertAlign w:val="superscript"/>
          <w:lang w:val="da-DK"/>
        </w:rPr>
        <w:t>(</w:t>
      </w:r>
      <w:r w:rsidRPr="006315CB">
        <w:rPr>
          <w:rStyle w:val="FootnoteReference"/>
          <w:rFonts w:cs="Times New Roman"/>
          <w:sz w:val="30"/>
          <w:szCs w:val="30"/>
        </w:rPr>
        <w:footnoteReference w:id="6"/>
      </w:r>
      <w:r w:rsidRPr="006315CB">
        <w:rPr>
          <w:rFonts w:cs="Times New Roman"/>
          <w:sz w:val="30"/>
          <w:szCs w:val="30"/>
          <w:vertAlign w:val="superscript"/>
          <w:lang w:val="da-DK"/>
        </w:rPr>
        <w:t>)</w:t>
      </w:r>
      <w:r w:rsidRPr="006315CB">
        <w:rPr>
          <w:rFonts w:cs="Times New Roman"/>
          <w:sz w:val="30"/>
          <w:szCs w:val="30"/>
        </w:rPr>
        <w:t>.</w:t>
      </w:r>
      <w:r w:rsidRPr="006315CB">
        <w:rPr>
          <w:rFonts w:cs="Times New Roman"/>
          <w:sz w:val="30"/>
          <w:szCs w:val="30"/>
          <w:lang w:val="da-DK"/>
        </w:rPr>
        <w:t xml:space="preserve"> Việc </w:t>
      </w:r>
      <w:r w:rsidRPr="006315CB">
        <w:rPr>
          <w:rFonts w:cs="Times New Roman"/>
          <w:sz w:val="30"/>
          <w:szCs w:val="30"/>
        </w:rPr>
        <w:t>kiểm điểm</w:t>
      </w:r>
      <w:r w:rsidRPr="006315CB">
        <w:rPr>
          <w:rFonts w:cs="Times New Roman"/>
          <w:sz w:val="30"/>
          <w:szCs w:val="30"/>
          <w:lang w:val="da-DK"/>
        </w:rPr>
        <w:t xml:space="preserve"> tự phê bình và phê bình </w:t>
      </w:r>
      <w:r w:rsidRPr="006315CB">
        <w:rPr>
          <w:rFonts w:cs="Times New Roman"/>
          <w:sz w:val="30"/>
          <w:szCs w:val="30"/>
        </w:rPr>
        <w:t xml:space="preserve">theo Nghị quyết Hội nghị lần thứ 4 Ban Chấp hành Trung ương </w:t>
      </w:r>
      <w:r w:rsidRPr="006315CB">
        <w:rPr>
          <w:rFonts w:cs="Times New Roman"/>
          <w:sz w:val="30"/>
          <w:szCs w:val="30"/>
          <w:lang w:val="da-DK"/>
        </w:rPr>
        <w:t xml:space="preserve">Đảng </w:t>
      </w:r>
      <w:r w:rsidRPr="006315CB">
        <w:rPr>
          <w:rFonts w:cs="Times New Roman"/>
          <w:sz w:val="30"/>
          <w:szCs w:val="30"/>
        </w:rPr>
        <w:t>(khóa XI)</w:t>
      </w:r>
      <w:r w:rsidRPr="006315CB">
        <w:rPr>
          <w:rFonts w:cs="Times New Roman"/>
          <w:sz w:val="30"/>
          <w:szCs w:val="30"/>
          <w:lang w:val="da-DK"/>
        </w:rPr>
        <w:t xml:space="preserve"> “</w:t>
      </w:r>
      <w:r w:rsidRPr="006315CB">
        <w:rPr>
          <w:rFonts w:eastAsia="Times New Roman" w:cs="Times New Roman"/>
          <w:sz w:val="30"/>
          <w:szCs w:val="30"/>
          <w:lang w:eastAsia="vi-VN"/>
        </w:rPr>
        <w:t>Một số vấn đề cấp bách về xây dựng Đảng hiện nay</w:t>
      </w:r>
      <w:r w:rsidRPr="006315CB">
        <w:rPr>
          <w:rFonts w:eastAsia="Times New Roman" w:cs="Times New Roman"/>
          <w:sz w:val="30"/>
          <w:szCs w:val="30"/>
          <w:lang w:val="da-DK" w:eastAsia="vi-VN"/>
        </w:rPr>
        <w:t xml:space="preserve">” và thực hiện </w:t>
      </w:r>
      <w:r w:rsidRPr="006315CB">
        <w:rPr>
          <w:rFonts w:cs="Times New Roman"/>
          <w:sz w:val="30"/>
          <w:szCs w:val="30"/>
          <w:lang w:val="da-DK"/>
        </w:rPr>
        <w:t xml:space="preserve">quy định của Ban Chấp hành Trung ương về những điều đảng viên không được làm đã tác động đến </w:t>
      </w:r>
      <w:r w:rsidRPr="006315CB">
        <w:rPr>
          <w:rFonts w:eastAsia="Times New Roman" w:cs="Times New Roman"/>
          <w:sz w:val="30"/>
          <w:szCs w:val="30"/>
          <w:lang w:eastAsia="vi-VN"/>
        </w:rPr>
        <w:t>cán bộ, đảng viên</w:t>
      </w:r>
      <w:r w:rsidRPr="006315CB">
        <w:rPr>
          <w:rFonts w:eastAsia="Times New Roman" w:cs="Times New Roman"/>
          <w:sz w:val="30"/>
          <w:szCs w:val="30"/>
          <w:lang w:val="da-DK" w:eastAsia="vi-VN"/>
        </w:rPr>
        <w:t xml:space="preserve"> về </w:t>
      </w:r>
      <w:r w:rsidRPr="006315CB">
        <w:rPr>
          <w:rFonts w:eastAsia="Times New Roman" w:cs="Times New Roman"/>
          <w:sz w:val="30"/>
          <w:szCs w:val="30"/>
          <w:lang w:eastAsia="vi-VN"/>
        </w:rPr>
        <w:t xml:space="preserve">ý thức rèn luyện, nâng cao phẩm chất chính trị, đạo đức lối sống, </w:t>
      </w:r>
      <w:r w:rsidRPr="006315CB">
        <w:rPr>
          <w:rFonts w:eastAsia="Times New Roman" w:cs="Times New Roman"/>
          <w:sz w:val="30"/>
          <w:szCs w:val="30"/>
          <w:lang w:val="da-DK" w:eastAsia="vi-VN"/>
        </w:rPr>
        <w:t xml:space="preserve">ý thức </w:t>
      </w:r>
      <w:r w:rsidRPr="006315CB">
        <w:rPr>
          <w:rFonts w:eastAsia="Times New Roman" w:cs="Times New Roman"/>
          <w:sz w:val="30"/>
          <w:szCs w:val="30"/>
          <w:lang w:eastAsia="vi-VN"/>
        </w:rPr>
        <w:t>phục vụ nhân dân.</w:t>
      </w:r>
      <w:r w:rsidRPr="006315CB">
        <w:rPr>
          <w:rFonts w:eastAsia="Times New Roman" w:cs="Times New Roman"/>
          <w:sz w:val="30"/>
          <w:szCs w:val="30"/>
          <w:lang w:val="da-DK" w:eastAsia="vi-VN"/>
        </w:rPr>
        <w:t xml:space="preserve"> </w:t>
      </w:r>
    </w:p>
    <w:p w:rsidR="00DC2222" w:rsidRPr="006315CB" w:rsidRDefault="00DC2222" w:rsidP="00B25761">
      <w:pPr>
        <w:spacing w:before="120" w:after="0" w:line="340" w:lineRule="exact"/>
        <w:ind w:firstLine="720"/>
        <w:jc w:val="both"/>
        <w:rPr>
          <w:rFonts w:cs="Times New Roman"/>
          <w:sz w:val="30"/>
          <w:szCs w:val="30"/>
          <w:lang w:val="nl-NL"/>
        </w:rPr>
      </w:pPr>
      <w:r w:rsidRPr="006315CB">
        <w:rPr>
          <w:rFonts w:cs="Times New Roman"/>
          <w:sz w:val="30"/>
          <w:szCs w:val="30"/>
          <w:lang w:val="nl-NL"/>
        </w:rPr>
        <w:t xml:space="preserve">Để nâng cao trách nhiệm của cán bộ, công chức trong tiếp xúc, giải quyết các công việc có liên quan tới người dân, doanh nghiệp, nhiều bộ, ngành, địa phương đã </w:t>
      </w:r>
      <w:r w:rsidR="00440CFB" w:rsidRPr="006315CB">
        <w:rPr>
          <w:rFonts w:cs="Times New Roman"/>
          <w:sz w:val="30"/>
          <w:szCs w:val="30"/>
          <w:lang w:val="nl-NL"/>
        </w:rPr>
        <w:t>chủ động triển khai một số hoạt động thiết thực,</w:t>
      </w:r>
      <w:r w:rsidRPr="006315CB">
        <w:rPr>
          <w:rFonts w:cs="Times New Roman"/>
          <w:sz w:val="30"/>
          <w:szCs w:val="30"/>
          <w:lang w:val="nl-NL"/>
        </w:rPr>
        <w:t xml:space="preserve"> như: thành phố Hà Nội ban hành Chỉ thị về việc thực hiện “Năm kỷ cương hành chính - 2013”; tổ chức điều tra xã hội học tại một số đơn vị của thành phố</w:t>
      </w:r>
      <w:r w:rsidRPr="006315CB">
        <w:rPr>
          <w:rFonts w:cs="Times New Roman"/>
          <w:sz w:val="30"/>
          <w:szCs w:val="30"/>
          <w:vertAlign w:val="superscript"/>
          <w:lang w:val="nl-NL"/>
        </w:rPr>
        <w:t>(</w:t>
      </w:r>
      <w:r w:rsidRPr="006315CB">
        <w:rPr>
          <w:rStyle w:val="FootnoteReference"/>
          <w:rFonts w:cs="Times New Roman"/>
          <w:sz w:val="30"/>
          <w:szCs w:val="30"/>
          <w:lang w:val="nl-NL"/>
        </w:rPr>
        <w:footnoteReference w:id="7"/>
      </w:r>
      <w:r w:rsidRPr="006315CB">
        <w:rPr>
          <w:rFonts w:cs="Times New Roman"/>
          <w:sz w:val="30"/>
          <w:szCs w:val="30"/>
          <w:vertAlign w:val="superscript"/>
          <w:lang w:val="nl-NL"/>
        </w:rPr>
        <w:t>)</w:t>
      </w:r>
      <w:r w:rsidRPr="006315CB">
        <w:rPr>
          <w:rFonts w:cs="Times New Roman"/>
          <w:sz w:val="30"/>
          <w:szCs w:val="30"/>
          <w:lang w:val="nl-NL"/>
        </w:rPr>
        <w:t xml:space="preserve"> để thăm dò ý kiến của người dân về thái độ, trách nhiệm của cán bộ, công chức trong thực thi công vụ; Bộ Công an thành lập các Tổ kiểm tra, chấn chỉnh việc chấp hành điều lệnh, tư thế, tác phong, thái độ ứng xử của cán bộ chiến sỹ trong lực lượng Công an nhân dân. Q</w:t>
      </w:r>
      <w:r w:rsidRPr="006315CB">
        <w:rPr>
          <w:rFonts w:cs="Times New Roman"/>
          <w:sz w:val="30"/>
          <w:szCs w:val="30"/>
        </w:rPr>
        <w:t>ua</w:t>
      </w:r>
      <w:r w:rsidRPr="006315CB">
        <w:rPr>
          <w:rFonts w:cs="Times New Roman"/>
          <w:sz w:val="30"/>
          <w:szCs w:val="30"/>
          <w:lang w:val="nl-NL"/>
        </w:rPr>
        <w:t xml:space="preserve"> </w:t>
      </w:r>
      <w:r w:rsidRPr="006315CB">
        <w:rPr>
          <w:rFonts w:cs="Times New Roman"/>
          <w:sz w:val="30"/>
          <w:szCs w:val="30"/>
        </w:rPr>
        <w:t xml:space="preserve">thực hiện </w:t>
      </w:r>
      <w:r w:rsidRPr="006315CB">
        <w:rPr>
          <w:rFonts w:cs="Times New Roman"/>
          <w:sz w:val="30"/>
          <w:szCs w:val="30"/>
          <w:lang w:val="nl-NL"/>
        </w:rPr>
        <w:t xml:space="preserve">quy tắc ứng xử và kiểm điểm đảng viên theo Nghị </w:t>
      </w:r>
      <w:r w:rsidRPr="006315CB">
        <w:rPr>
          <w:rFonts w:cs="Times New Roman"/>
          <w:sz w:val="30"/>
          <w:szCs w:val="30"/>
        </w:rPr>
        <w:t xml:space="preserve">quyết Hội nghị lần thứ 4 Ban Chấp hành Trung ương </w:t>
      </w:r>
      <w:r w:rsidRPr="006315CB">
        <w:rPr>
          <w:rFonts w:cs="Times New Roman"/>
          <w:sz w:val="30"/>
          <w:szCs w:val="30"/>
          <w:lang w:val="nl-NL"/>
        </w:rPr>
        <w:t xml:space="preserve">Đảng </w:t>
      </w:r>
      <w:r w:rsidRPr="006315CB">
        <w:rPr>
          <w:rFonts w:cs="Times New Roman"/>
          <w:sz w:val="30"/>
          <w:szCs w:val="30"/>
        </w:rPr>
        <w:t>(khóa XI)</w:t>
      </w:r>
      <w:r w:rsidRPr="006315CB">
        <w:rPr>
          <w:rFonts w:cs="Times New Roman"/>
          <w:sz w:val="30"/>
          <w:szCs w:val="30"/>
          <w:lang w:val="nl-NL"/>
        </w:rPr>
        <w:t xml:space="preserve"> đã có hơn 2.000 cán bộ, chiến sỹ trong ngành Công an liêm khiết không nhận hối lộ trong khi thi hành công vụ. </w:t>
      </w:r>
    </w:p>
    <w:p w:rsidR="00DC2222" w:rsidRPr="006315CB" w:rsidRDefault="00DC2222" w:rsidP="00B25761">
      <w:pPr>
        <w:spacing w:before="120" w:after="0" w:line="340" w:lineRule="exact"/>
        <w:ind w:firstLine="720"/>
        <w:jc w:val="both"/>
        <w:rPr>
          <w:rFonts w:cs="Times New Roman"/>
          <w:sz w:val="30"/>
          <w:szCs w:val="30"/>
        </w:rPr>
      </w:pPr>
      <w:r w:rsidRPr="006315CB">
        <w:rPr>
          <w:rFonts w:cs="Times New Roman"/>
          <w:i/>
          <w:sz w:val="30"/>
          <w:szCs w:val="30"/>
        </w:rPr>
        <w:t>Minh bạch tài sản, thu nhập:</w:t>
      </w:r>
      <w:r w:rsidRPr="006315CB">
        <w:rPr>
          <w:rFonts w:cs="Times New Roman"/>
          <w:sz w:val="30"/>
          <w:szCs w:val="30"/>
        </w:rPr>
        <w:t xml:space="preserve"> Theo báo cáo của Thanh tra Chính phủ,</w:t>
      </w:r>
      <w:r w:rsidRPr="006315CB">
        <w:rPr>
          <w:rFonts w:cs="Times New Roman"/>
          <w:sz w:val="30"/>
          <w:szCs w:val="30"/>
          <w:lang w:val="nl-NL"/>
        </w:rPr>
        <w:t xml:space="preserve"> </w:t>
      </w:r>
      <w:r w:rsidRPr="006315CB">
        <w:rPr>
          <w:rFonts w:cs="Times New Roman"/>
          <w:sz w:val="30"/>
          <w:szCs w:val="30"/>
        </w:rPr>
        <w:t>có 17 bộ và cơ quan ngang bộ; 07 cơ quan thuộc Chính phủ; 04 tổ chức chính trị xã hội; 08 cơ quan, tổ chức Trung ương; 56 tỉnh, thành phố trực thuộc Trung ương; 14 Tập đoàn kinh tế nhà nước, Tổng công ty 91 đã báo cáo việc kê khai tài sản, thu nhập năm 2012. Trong đó, có 104.326 người kê khai lần đầu, trên tổng số 106.680 người phải kê khai (đạt 98,8%); 472.975 người kê khai bổ sung, trên tổng số 479.604 người phải kê khai bổ sung (đạt 98,6%); có 370.650 người được công khai bản kê khai tài sản, thu nhập tại cơ quan, tổ chức, đơn vị nơi thường xuyên công tác; 58 trường hợp vi phạm các quy định về minh bạch tài sản, thu nhập bị xử lý kỷ luật. Tuy nhiên, vẫn còn 13 bộ, ngành ở Trung ương và địa phương chưa gửi báo cáo kết quả kê khai tài sản</w:t>
      </w:r>
      <w:r w:rsidR="00F71B48" w:rsidRPr="006315CB">
        <w:rPr>
          <w:rFonts w:cs="Times New Roman"/>
          <w:sz w:val="30"/>
          <w:szCs w:val="30"/>
        </w:rPr>
        <w:t>, thu nhập</w:t>
      </w:r>
      <w:r w:rsidRPr="006315CB">
        <w:rPr>
          <w:rFonts w:cs="Times New Roman"/>
          <w:sz w:val="30"/>
          <w:szCs w:val="30"/>
        </w:rPr>
        <w:t xml:space="preserve"> theo quy định</w:t>
      </w:r>
      <w:r w:rsidRPr="006315CB">
        <w:rPr>
          <w:rFonts w:cs="Times New Roman"/>
          <w:sz w:val="30"/>
          <w:szCs w:val="30"/>
          <w:vertAlign w:val="superscript"/>
        </w:rPr>
        <w:t>(</w:t>
      </w:r>
      <w:r w:rsidRPr="006315CB">
        <w:rPr>
          <w:rStyle w:val="FootnoteReference"/>
          <w:rFonts w:cs="Times New Roman"/>
          <w:sz w:val="30"/>
          <w:szCs w:val="30"/>
        </w:rPr>
        <w:footnoteReference w:id="8"/>
      </w:r>
      <w:r w:rsidRPr="006315CB">
        <w:rPr>
          <w:rFonts w:cs="Times New Roman"/>
          <w:sz w:val="30"/>
          <w:szCs w:val="30"/>
          <w:vertAlign w:val="superscript"/>
        </w:rPr>
        <w:t>)</w:t>
      </w:r>
      <w:r w:rsidRPr="006315CB">
        <w:rPr>
          <w:rFonts w:cs="Times New Roman"/>
          <w:sz w:val="30"/>
          <w:szCs w:val="30"/>
        </w:rPr>
        <w:t xml:space="preserve">.   </w:t>
      </w:r>
    </w:p>
    <w:p w:rsidR="00DC2222" w:rsidRPr="006315CB" w:rsidRDefault="00DC2222" w:rsidP="00B25761">
      <w:pPr>
        <w:spacing w:before="120" w:after="0" w:line="340" w:lineRule="exact"/>
        <w:ind w:firstLine="720"/>
        <w:jc w:val="both"/>
        <w:rPr>
          <w:rFonts w:cs="Times New Roman"/>
          <w:b/>
          <w:sz w:val="30"/>
          <w:szCs w:val="30"/>
          <w:lang w:val="de-DE"/>
        </w:rPr>
      </w:pPr>
      <w:r w:rsidRPr="006315CB">
        <w:rPr>
          <w:rFonts w:cs="Times New Roman"/>
          <w:b/>
          <w:sz w:val="30"/>
          <w:szCs w:val="30"/>
          <w:lang w:val="de-DE"/>
        </w:rPr>
        <w:t>5. Phát hiện và xử lý các hành vi tham nhũng</w:t>
      </w:r>
    </w:p>
    <w:p w:rsidR="00DC2222" w:rsidRPr="006315CB" w:rsidRDefault="00DC2222" w:rsidP="00B25761">
      <w:pPr>
        <w:widowControl w:val="0"/>
        <w:spacing w:before="120" w:after="0" w:line="340" w:lineRule="exact"/>
        <w:ind w:firstLine="720"/>
        <w:jc w:val="both"/>
        <w:rPr>
          <w:rFonts w:cs="Times New Roman"/>
          <w:sz w:val="30"/>
          <w:szCs w:val="30"/>
          <w:lang w:val="de-DE"/>
        </w:rPr>
      </w:pPr>
      <w:r w:rsidRPr="006315CB">
        <w:rPr>
          <w:rFonts w:cs="Times New Roman"/>
          <w:i/>
          <w:sz w:val="30"/>
          <w:szCs w:val="30"/>
        </w:rPr>
        <w:t>a</w:t>
      </w:r>
      <w:r w:rsidRPr="006315CB">
        <w:rPr>
          <w:rFonts w:cs="Times New Roman"/>
          <w:i/>
          <w:sz w:val="30"/>
          <w:szCs w:val="30"/>
          <w:lang w:val="de-DE"/>
        </w:rPr>
        <w:t xml:space="preserve">- </w:t>
      </w:r>
      <w:r w:rsidRPr="006315CB">
        <w:rPr>
          <w:rFonts w:cs="Times New Roman"/>
          <w:i/>
          <w:sz w:val="30"/>
          <w:szCs w:val="30"/>
        </w:rPr>
        <w:t>Công tác kiểm tra</w:t>
      </w:r>
      <w:r w:rsidRPr="006315CB">
        <w:rPr>
          <w:rFonts w:cs="Times New Roman"/>
          <w:i/>
          <w:sz w:val="30"/>
          <w:szCs w:val="30"/>
          <w:lang w:val="de-DE"/>
        </w:rPr>
        <w:t>, thanh tra, kiểm toán</w:t>
      </w:r>
    </w:p>
    <w:p w:rsidR="00563438" w:rsidRPr="006315CB" w:rsidRDefault="00563438" w:rsidP="00B25761">
      <w:pPr>
        <w:widowControl w:val="0"/>
        <w:spacing w:before="120" w:after="0" w:line="330" w:lineRule="exact"/>
        <w:ind w:firstLine="720"/>
        <w:jc w:val="both"/>
        <w:rPr>
          <w:rFonts w:cs="Times New Roman"/>
          <w:sz w:val="30"/>
          <w:szCs w:val="30"/>
          <w:lang w:val="de-DE"/>
        </w:rPr>
      </w:pPr>
      <w:r w:rsidRPr="006315CB">
        <w:rPr>
          <w:rFonts w:cs="Times New Roman"/>
          <w:sz w:val="30"/>
          <w:szCs w:val="30"/>
          <w:lang w:val="de-DE"/>
        </w:rPr>
        <w:t xml:space="preserve">Trong 6 tháng đầu năm, cấp ủy đảng và </w:t>
      </w:r>
      <w:r w:rsidR="00DA3D33" w:rsidRPr="006315CB">
        <w:rPr>
          <w:rFonts w:cs="Times New Roman"/>
          <w:sz w:val="30"/>
          <w:szCs w:val="30"/>
          <w:lang w:val="de-DE"/>
        </w:rPr>
        <w:t>ủ</w:t>
      </w:r>
      <w:r w:rsidRPr="006315CB">
        <w:rPr>
          <w:rFonts w:cs="Times New Roman"/>
          <w:sz w:val="30"/>
          <w:szCs w:val="30"/>
          <w:lang w:val="de-DE"/>
        </w:rPr>
        <w:t xml:space="preserve">y ban </w:t>
      </w:r>
      <w:r w:rsidR="00DA3D33" w:rsidRPr="006315CB">
        <w:rPr>
          <w:rFonts w:cs="Times New Roman"/>
          <w:sz w:val="30"/>
          <w:szCs w:val="30"/>
          <w:lang w:val="de-DE"/>
        </w:rPr>
        <w:t>k</w:t>
      </w:r>
      <w:r w:rsidRPr="006315CB">
        <w:rPr>
          <w:rFonts w:cs="Times New Roman"/>
          <w:sz w:val="30"/>
          <w:szCs w:val="30"/>
          <w:lang w:val="de-DE"/>
        </w:rPr>
        <w:t>iểm tra các cấp đã quan tâm lãnh đạo</w:t>
      </w:r>
      <w:r w:rsidR="00CA3742" w:rsidRPr="006315CB">
        <w:rPr>
          <w:rFonts w:cs="Times New Roman"/>
          <w:sz w:val="30"/>
          <w:szCs w:val="30"/>
          <w:lang w:val="de-DE"/>
        </w:rPr>
        <w:t>,</w:t>
      </w:r>
      <w:r w:rsidRPr="006315CB">
        <w:rPr>
          <w:rFonts w:cs="Times New Roman"/>
          <w:sz w:val="30"/>
          <w:szCs w:val="30"/>
          <w:lang w:val="de-DE"/>
        </w:rPr>
        <w:t xml:space="preserve"> thực hiện kiểm tra các tổ chức đảng, đảng viên có dấu </w:t>
      </w:r>
      <w:r w:rsidRPr="006315CB">
        <w:rPr>
          <w:rFonts w:cs="Times New Roman"/>
          <w:sz w:val="30"/>
          <w:szCs w:val="30"/>
          <w:lang w:val="de-DE"/>
        </w:rPr>
        <w:lastRenderedPageBreak/>
        <w:t>hiệu vi phạm</w:t>
      </w:r>
      <w:r w:rsidR="00DA3D2E" w:rsidRPr="006315CB">
        <w:rPr>
          <w:rFonts w:cs="Times New Roman"/>
          <w:sz w:val="30"/>
          <w:szCs w:val="30"/>
          <w:lang w:val="de-DE"/>
        </w:rPr>
        <w:t xml:space="preserve"> các quy định của Đảng, Nhà nước về PCTN, thực hành tiết kiệm, chống lãng phí. Qua trực tiếp kiểm tra dấu hiệu vi phạm kết hợp với việc </w:t>
      </w:r>
      <w:r w:rsidR="00CA3742" w:rsidRPr="006315CB">
        <w:rPr>
          <w:rFonts w:cs="Times New Roman"/>
          <w:sz w:val="30"/>
          <w:szCs w:val="30"/>
          <w:lang w:val="de-DE"/>
        </w:rPr>
        <w:t xml:space="preserve">giải quyết khiếu nại kỷ luật đảng, giải quyết tố cáo đảng viên..., cấp ủy đảng và </w:t>
      </w:r>
      <w:r w:rsidR="00DA3D33" w:rsidRPr="006315CB">
        <w:rPr>
          <w:rFonts w:cs="Times New Roman"/>
          <w:sz w:val="30"/>
          <w:szCs w:val="30"/>
          <w:lang w:val="de-DE"/>
        </w:rPr>
        <w:t>ủ</w:t>
      </w:r>
      <w:r w:rsidR="00DA3D2E" w:rsidRPr="006315CB">
        <w:rPr>
          <w:rFonts w:cs="Times New Roman"/>
          <w:sz w:val="30"/>
          <w:szCs w:val="30"/>
          <w:lang w:val="de-DE"/>
        </w:rPr>
        <w:t xml:space="preserve">y ban </w:t>
      </w:r>
      <w:r w:rsidR="00DA3D33" w:rsidRPr="006315CB">
        <w:rPr>
          <w:rFonts w:cs="Times New Roman"/>
          <w:sz w:val="30"/>
          <w:szCs w:val="30"/>
          <w:lang w:val="de-DE"/>
        </w:rPr>
        <w:t>k</w:t>
      </w:r>
      <w:r w:rsidR="00DA3D2E" w:rsidRPr="006315CB">
        <w:rPr>
          <w:rFonts w:cs="Times New Roman"/>
          <w:sz w:val="30"/>
          <w:szCs w:val="30"/>
          <w:lang w:val="de-DE"/>
        </w:rPr>
        <w:t>iểm tra các cấp đã thi hành kỷ luật 128 trường hợp vi phạm</w:t>
      </w:r>
      <w:r w:rsidR="00CA3742" w:rsidRPr="006315CB">
        <w:rPr>
          <w:rFonts w:cs="Times New Roman"/>
          <w:sz w:val="30"/>
          <w:szCs w:val="30"/>
          <w:lang w:val="de-DE"/>
        </w:rPr>
        <w:t xml:space="preserve"> các quy định về PCTN, thực hành tiết kiệm, chống lãng phí</w:t>
      </w:r>
      <w:r w:rsidR="00DA3D2E" w:rsidRPr="006315CB">
        <w:rPr>
          <w:rFonts w:cs="Times New Roman"/>
          <w:sz w:val="30"/>
          <w:szCs w:val="30"/>
          <w:lang w:val="de-DE"/>
        </w:rPr>
        <w:t>.</w:t>
      </w:r>
    </w:p>
    <w:p w:rsidR="003F2488" w:rsidRPr="006315CB" w:rsidRDefault="006315CB" w:rsidP="00B25761">
      <w:pPr>
        <w:pStyle w:val="CharCharCharCharCharCharCharCharCharCharCharCharCharCharCharCharCharCharCharCharCharChar"/>
        <w:tabs>
          <w:tab w:val="left" w:pos="180"/>
        </w:tabs>
        <w:spacing w:before="120" w:after="0" w:line="330" w:lineRule="exact"/>
        <w:ind w:firstLine="720"/>
        <w:jc w:val="both"/>
        <w:rPr>
          <w:rFonts w:cs="Times New Roman"/>
          <w:sz w:val="30"/>
          <w:szCs w:val="30"/>
          <w:lang w:val="de-DE"/>
        </w:rPr>
      </w:pPr>
      <w:r>
        <w:rPr>
          <w:rFonts w:ascii="Times New Roman" w:hAnsi="Times New Roman" w:cs="Times New Roman"/>
          <w:sz w:val="30"/>
          <w:szCs w:val="30"/>
          <w:lang w:val="de-DE"/>
        </w:rPr>
        <w:t>T</w:t>
      </w:r>
      <w:r w:rsidR="003F2488" w:rsidRPr="006315CB">
        <w:rPr>
          <w:rFonts w:ascii="Times New Roman" w:hAnsi="Times New Roman" w:cs="Times New Roman"/>
          <w:sz w:val="30"/>
          <w:szCs w:val="30"/>
          <w:lang w:val="de-DE"/>
        </w:rPr>
        <w:t>ro</w:t>
      </w:r>
      <w:r>
        <w:rPr>
          <w:rFonts w:ascii="Times New Roman" w:hAnsi="Times New Roman" w:cs="Times New Roman"/>
          <w:sz w:val="30"/>
          <w:szCs w:val="30"/>
          <w:lang w:val="de-DE"/>
        </w:rPr>
        <w:t>ng 6 tháng đầu năm, toàn ngành T</w:t>
      </w:r>
      <w:r w:rsidR="003F2488" w:rsidRPr="006315CB">
        <w:rPr>
          <w:rFonts w:ascii="Times New Roman" w:hAnsi="Times New Roman" w:cs="Times New Roman"/>
          <w:sz w:val="30"/>
          <w:szCs w:val="30"/>
          <w:lang w:val="de-DE"/>
        </w:rPr>
        <w:t>hanh tra phát hiện 73</w:t>
      </w:r>
      <w:r w:rsidR="003F2488" w:rsidRPr="006315CB">
        <w:rPr>
          <w:rFonts w:ascii="Times New Roman" w:hAnsi="Times New Roman" w:cs="Times New Roman"/>
          <w:sz w:val="30"/>
          <w:szCs w:val="30"/>
          <w:lang w:val="vi-VN"/>
        </w:rPr>
        <w:t xml:space="preserve"> vụ, </w:t>
      </w:r>
      <w:r w:rsidR="003F2488" w:rsidRPr="006315CB">
        <w:rPr>
          <w:rFonts w:ascii="Times New Roman" w:hAnsi="Times New Roman" w:cs="Times New Roman"/>
          <w:sz w:val="30"/>
          <w:szCs w:val="30"/>
          <w:lang w:val="de-DE"/>
        </w:rPr>
        <w:t>80</w:t>
      </w:r>
      <w:r w:rsidR="003F2488" w:rsidRPr="006315CB">
        <w:rPr>
          <w:rFonts w:ascii="Times New Roman" w:hAnsi="Times New Roman" w:cs="Times New Roman"/>
          <w:sz w:val="30"/>
          <w:szCs w:val="30"/>
          <w:lang w:val="vi-VN"/>
        </w:rPr>
        <w:t xml:space="preserve"> đối tượng có hành vi liên quan đến tham nhũng </w:t>
      </w:r>
      <w:r w:rsidR="003F2488" w:rsidRPr="006315CB">
        <w:rPr>
          <w:rFonts w:ascii="Times New Roman" w:hAnsi="Times New Roman" w:cs="Times New Roman"/>
          <w:sz w:val="30"/>
          <w:szCs w:val="30"/>
          <w:lang w:val="de-DE"/>
        </w:rPr>
        <w:t>với số tiền</w:t>
      </w:r>
      <w:r w:rsidR="003F2488" w:rsidRPr="006315CB">
        <w:rPr>
          <w:rFonts w:ascii="Times New Roman" w:hAnsi="Times New Roman" w:cs="Times New Roman"/>
          <w:sz w:val="30"/>
          <w:szCs w:val="30"/>
          <w:lang w:val="vi-VN"/>
        </w:rPr>
        <w:t xml:space="preserve"> </w:t>
      </w:r>
      <w:r w:rsidR="003F2488" w:rsidRPr="006315CB">
        <w:rPr>
          <w:rFonts w:ascii="Times New Roman" w:hAnsi="Times New Roman" w:cs="Times New Roman"/>
          <w:sz w:val="30"/>
          <w:szCs w:val="30"/>
          <w:lang w:val="de-DE"/>
        </w:rPr>
        <w:t>117</w:t>
      </w:r>
      <w:r w:rsidR="003F2488" w:rsidRPr="006315CB">
        <w:rPr>
          <w:rFonts w:ascii="Times New Roman" w:hAnsi="Times New Roman" w:cs="Times New Roman"/>
          <w:sz w:val="30"/>
          <w:szCs w:val="30"/>
          <w:lang w:val="vi-VN"/>
        </w:rPr>
        <w:t xml:space="preserve"> tỷ đồng</w:t>
      </w:r>
      <w:r w:rsidR="0093369E" w:rsidRPr="006315CB">
        <w:rPr>
          <w:rFonts w:ascii="Times New Roman" w:hAnsi="Times New Roman" w:cs="Times New Roman"/>
          <w:sz w:val="30"/>
          <w:szCs w:val="30"/>
          <w:lang w:val="de-DE"/>
        </w:rPr>
        <w:t>;</w:t>
      </w:r>
      <w:r w:rsidR="003F2488" w:rsidRPr="006315CB">
        <w:rPr>
          <w:rFonts w:ascii="Times New Roman" w:hAnsi="Times New Roman" w:cs="Times New Roman"/>
          <w:sz w:val="30"/>
          <w:szCs w:val="30"/>
          <w:lang w:val="de-DE"/>
        </w:rPr>
        <w:t xml:space="preserve"> kiến nghị thu hồi 115 t</w:t>
      </w:r>
      <w:r w:rsidR="0093369E" w:rsidRPr="006315CB">
        <w:rPr>
          <w:rFonts w:ascii="Times New Roman" w:hAnsi="Times New Roman" w:cs="Times New Roman"/>
          <w:sz w:val="30"/>
          <w:szCs w:val="30"/>
          <w:lang w:val="de-DE"/>
        </w:rPr>
        <w:t>ỷ</w:t>
      </w:r>
      <w:r w:rsidR="003F2488" w:rsidRPr="006315CB">
        <w:rPr>
          <w:rFonts w:ascii="Times New Roman" w:hAnsi="Times New Roman" w:cs="Times New Roman"/>
          <w:sz w:val="30"/>
          <w:szCs w:val="30"/>
          <w:lang w:val="de-DE"/>
        </w:rPr>
        <w:t xml:space="preserve"> đồng; đã thu 59 tỷ đồng</w:t>
      </w:r>
      <w:r w:rsidR="0093369E" w:rsidRPr="006315CB">
        <w:rPr>
          <w:rFonts w:ascii="Times New Roman" w:hAnsi="Times New Roman" w:cs="Times New Roman"/>
          <w:sz w:val="30"/>
          <w:szCs w:val="30"/>
          <w:lang w:val="de-DE"/>
        </w:rPr>
        <w:t>;</w:t>
      </w:r>
      <w:r w:rsidR="003F2488" w:rsidRPr="006315CB">
        <w:rPr>
          <w:rFonts w:ascii="Times New Roman" w:hAnsi="Times New Roman" w:cs="Times New Roman"/>
          <w:sz w:val="30"/>
          <w:szCs w:val="30"/>
          <w:lang w:val="de-DE"/>
        </w:rPr>
        <w:t xml:space="preserve"> kiến nghị xử lý hành chính đối với 04 tập thể, 28 cá nhân</w:t>
      </w:r>
      <w:r w:rsidR="0093369E" w:rsidRPr="006315CB">
        <w:rPr>
          <w:rFonts w:ascii="Times New Roman" w:hAnsi="Times New Roman" w:cs="Times New Roman"/>
          <w:sz w:val="30"/>
          <w:szCs w:val="30"/>
          <w:lang w:val="de-DE"/>
        </w:rPr>
        <w:t>;</w:t>
      </w:r>
      <w:r w:rsidR="003F2488" w:rsidRPr="006315CB">
        <w:rPr>
          <w:rFonts w:ascii="Times New Roman" w:hAnsi="Times New Roman" w:cs="Times New Roman"/>
          <w:sz w:val="30"/>
          <w:szCs w:val="30"/>
          <w:lang w:val="de-DE"/>
        </w:rPr>
        <w:t xml:space="preserve"> chuyển cơ quan điều tra hình sự 11 vụ, 34 đối tượng</w:t>
      </w:r>
      <w:r w:rsidR="0093369E" w:rsidRPr="006315CB">
        <w:rPr>
          <w:rFonts w:ascii="Times New Roman" w:hAnsi="Times New Roman" w:cs="Times New Roman"/>
          <w:sz w:val="30"/>
          <w:szCs w:val="30"/>
          <w:lang w:val="de-DE"/>
        </w:rPr>
        <w:t>;</w:t>
      </w:r>
      <w:r w:rsidR="003F2488" w:rsidRPr="006315CB">
        <w:rPr>
          <w:rFonts w:ascii="Times New Roman" w:hAnsi="Times New Roman" w:cs="Times New Roman"/>
          <w:sz w:val="30"/>
          <w:szCs w:val="30"/>
          <w:lang w:val="de-DE"/>
        </w:rPr>
        <w:t xml:space="preserve"> xử lý trách nhiệm 03 người đứng đầu. </w:t>
      </w:r>
    </w:p>
    <w:p w:rsidR="00DC2222" w:rsidRPr="006315CB" w:rsidRDefault="00DC2222" w:rsidP="00B25761">
      <w:pPr>
        <w:widowControl w:val="0"/>
        <w:spacing w:before="120" w:after="0" w:line="330" w:lineRule="exact"/>
        <w:ind w:firstLine="720"/>
        <w:jc w:val="both"/>
        <w:rPr>
          <w:rFonts w:cs="Times New Roman"/>
          <w:sz w:val="30"/>
          <w:szCs w:val="30"/>
          <w:lang w:val="de-DE"/>
        </w:rPr>
      </w:pPr>
      <w:r w:rsidRPr="006315CB">
        <w:rPr>
          <w:rFonts w:cs="Times New Roman"/>
          <w:sz w:val="30"/>
          <w:szCs w:val="30"/>
        </w:rPr>
        <w:t>Kiểm toán Nhà nước đã triển khai 58/147 cuộc kiểm toán theo kế hoạch; tiến hành kiểm tra tình hình thực hiện các kết luận, kiến nghị kiểm toán tại 152/152 đầu mối được kiểm toán năm 2011 về niên độ ngân sách năm 2010; chuyển 01 vụ có dấu hiệu vi phạm pháp luật sang cơ quan điều tra để điều tra làm rõ; cung cấp 10 bộ hồ sơ cho Cơ quan Cảnh sát điều tra và các cơ quan nhà nước có thẩm quyền để điều tra, kiểm tra, xử lý những vụ việc, hành vi có dấu hiệu vi phạm pháp luật, tham nhũng.</w:t>
      </w:r>
    </w:p>
    <w:p w:rsidR="00DC2222" w:rsidRPr="006315CB" w:rsidRDefault="00DC2222" w:rsidP="00B25761">
      <w:pPr>
        <w:widowControl w:val="0"/>
        <w:spacing w:before="120" w:after="0" w:line="330" w:lineRule="exact"/>
        <w:ind w:firstLine="720"/>
        <w:jc w:val="both"/>
        <w:rPr>
          <w:rFonts w:cs="Times New Roman"/>
          <w:i/>
          <w:sz w:val="30"/>
          <w:szCs w:val="30"/>
        </w:rPr>
      </w:pPr>
      <w:r w:rsidRPr="006315CB">
        <w:rPr>
          <w:rFonts w:cs="Times New Roman"/>
          <w:i/>
          <w:sz w:val="30"/>
          <w:szCs w:val="30"/>
          <w:lang w:val="de-DE"/>
        </w:rPr>
        <w:t>b</w:t>
      </w:r>
      <w:r w:rsidRPr="006315CB">
        <w:rPr>
          <w:rFonts w:cs="Times New Roman"/>
          <w:i/>
          <w:sz w:val="30"/>
          <w:szCs w:val="30"/>
          <w:lang w:val="pt-BR"/>
        </w:rPr>
        <w:t xml:space="preserve">- </w:t>
      </w:r>
      <w:r w:rsidRPr="006315CB">
        <w:rPr>
          <w:rFonts w:cs="Times New Roman"/>
          <w:i/>
          <w:sz w:val="30"/>
          <w:szCs w:val="30"/>
        </w:rPr>
        <w:t>Cô</w:t>
      </w:r>
      <w:r w:rsidRPr="006315CB">
        <w:rPr>
          <w:rFonts w:cs="Times New Roman"/>
          <w:i/>
          <w:sz w:val="30"/>
          <w:szCs w:val="30"/>
          <w:lang w:val="de-DE"/>
        </w:rPr>
        <w:t>ng</w:t>
      </w:r>
      <w:r w:rsidRPr="006315CB">
        <w:rPr>
          <w:rFonts w:cs="Times New Roman"/>
          <w:i/>
          <w:sz w:val="30"/>
          <w:szCs w:val="30"/>
        </w:rPr>
        <w:t xml:space="preserve"> tác điều tra, truy tố, xét xử các vụ án tham nhũng:</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xml:space="preserve">Theo báo cáo của </w:t>
      </w:r>
      <w:r w:rsidR="00107CF2" w:rsidRPr="006315CB">
        <w:rPr>
          <w:rFonts w:cs="Times New Roman"/>
          <w:sz w:val="30"/>
          <w:szCs w:val="30"/>
        </w:rPr>
        <w:t xml:space="preserve">Cục Thống kê, </w:t>
      </w:r>
      <w:r w:rsidRPr="006315CB">
        <w:rPr>
          <w:rFonts w:cs="Times New Roman"/>
          <w:sz w:val="30"/>
          <w:szCs w:val="30"/>
        </w:rPr>
        <w:t>Viện Kiểm sát nhân dân tố</w:t>
      </w:r>
      <w:r w:rsidR="00107CF2" w:rsidRPr="006315CB">
        <w:rPr>
          <w:rFonts w:cs="Times New Roman"/>
          <w:sz w:val="30"/>
          <w:szCs w:val="30"/>
        </w:rPr>
        <w:t>i cao</w:t>
      </w:r>
      <w:r w:rsidR="0087749A" w:rsidRPr="006315CB">
        <w:rPr>
          <w:rFonts w:cs="Times New Roman"/>
          <w:sz w:val="30"/>
          <w:szCs w:val="30"/>
        </w:rPr>
        <w:t>, trong 6 tháng đầu năm</w:t>
      </w:r>
      <w:r w:rsidRPr="006315CB">
        <w:rPr>
          <w:rFonts w:cs="Times New Roman"/>
          <w:sz w:val="30"/>
          <w:szCs w:val="30"/>
        </w:rPr>
        <w:t xml:space="preserve"> các cơ quan pháp luật đã:</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Khởi tố</w:t>
      </w:r>
      <w:r w:rsidR="0087749A" w:rsidRPr="006315CB">
        <w:rPr>
          <w:rFonts w:cs="Times New Roman"/>
          <w:sz w:val="30"/>
          <w:szCs w:val="30"/>
        </w:rPr>
        <w:t xml:space="preserve"> 133</w:t>
      </w:r>
      <w:r w:rsidRPr="006315CB">
        <w:rPr>
          <w:rFonts w:cs="Times New Roman"/>
          <w:sz w:val="30"/>
          <w:szCs w:val="30"/>
        </w:rPr>
        <w:t xml:space="preserve"> vụ</w:t>
      </w:r>
      <w:r w:rsidR="0087749A" w:rsidRPr="006315CB">
        <w:rPr>
          <w:rFonts w:cs="Times New Roman"/>
          <w:sz w:val="30"/>
          <w:szCs w:val="30"/>
        </w:rPr>
        <w:t>/305</w:t>
      </w:r>
      <w:r w:rsidRPr="006315CB">
        <w:rPr>
          <w:rFonts w:cs="Times New Roman"/>
          <w:sz w:val="30"/>
          <w:szCs w:val="30"/>
        </w:rPr>
        <w:t xml:space="preserve"> bị can về các tội danh tham nhũng (</w:t>
      </w:r>
      <w:r w:rsidR="006D5D26" w:rsidRPr="006315CB">
        <w:rPr>
          <w:rFonts w:cs="Times New Roman"/>
          <w:sz w:val="30"/>
          <w:szCs w:val="30"/>
        </w:rPr>
        <w:t xml:space="preserve">tăng 01 </w:t>
      </w:r>
      <w:r w:rsidRPr="006315CB">
        <w:rPr>
          <w:rFonts w:cs="Times New Roman"/>
          <w:sz w:val="30"/>
          <w:szCs w:val="30"/>
        </w:rPr>
        <w:t>vụ</w:t>
      </w:r>
      <w:r w:rsidR="006D5D26" w:rsidRPr="006315CB">
        <w:rPr>
          <w:rFonts w:cs="Times New Roman"/>
          <w:sz w:val="30"/>
          <w:szCs w:val="30"/>
        </w:rPr>
        <w:t>, 71</w:t>
      </w:r>
      <w:r w:rsidRPr="006315CB">
        <w:rPr>
          <w:rFonts w:cs="Times New Roman"/>
          <w:sz w:val="30"/>
          <w:szCs w:val="30"/>
        </w:rPr>
        <w:t xml:space="preserve"> bị can</w:t>
      </w:r>
      <w:r w:rsidR="00922E00" w:rsidRPr="006315CB">
        <w:rPr>
          <w:rFonts w:cs="Times New Roman"/>
          <w:sz w:val="30"/>
          <w:szCs w:val="30"/>
        </w:rPr>
        <w:t xml:space="preserve"> so với cùng kỳ năm 2012</w:t>
      </w:r>
      <w:r w:rsidRPr="006315CB">
        <w:rPr>
          <w:rFonts w:cs="Times New Roman"/>
          <w:sz w:val="30"/>
          <w:szCs w:val="30"/>
        </w:rPr>
        <w:t xml:space="preserve">), trong đó: </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Tham ô tài sản</w:t>
      </w:r>
      <w:r w:rsidR="006D5D26" w:rsidRPr="006315CB">
        <w:rPr>
          <w:rFonts w:cs="Times New Roman"/>
          <w:sz w:val="30"/>
          <w:szCs w:val="30"/>
          <w:lang w:val="en-US"/>
        </w:rPr>
        <w:t>: 56</w:t>
      </w:r>
      <w:r w:rsidRPr="006315CB">
        <w:rPr>
          <w:rFonts w:cs="Times New Roman"/>
          <w:sz w:val="30"/>
          <w:szCs w:val="30"/>
          <w:lang w:val="en-US"/>
        </w:rPr>
        <w:t xml:space="preserve"> vụ</w:t>
      </w:r>
      <w:r w:rsidR="006D5D26" w:rsidRPr="006315CB">
        <w:rPr>
          <w:rFonts w:cs="Times New Roman"/>
          <w:sz w:val="30"/>
          <w:szCs w:val="30"/>
          <w:lang w:val="en-US"/>
        </w:rPr>
        <w:t>/112</w:t>
      </w:r>
      <w:r w:rsidRPr="006315CB">
        <w:rPr>
          <w:rFonts w:cs="Times New Roman"/>
          <w:sz w:val="30"/>
          <w:szCs w:val="30"/>
          <w:lang w:val="en-US"/>
        </w:rPr>
        <w:t xml:space="preserve"> </w:t>
      </w:r>
      <w:r w:rsidRPr="006315CB">
        <w:rPr>
          <w:rFonts w:cs="Times New Roman"/>
          <w:sz w:val="30"/>
          <w:szCs w:val="30"/>
        </w:rPr>
        <w:t xml:space="preserve">bị can; </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Nhận hối lộ</w:t>
      </w:r>
      <w:r w:rsidR="006D5D26" w:rsidRPr="006315CB">
        <w:rPr>
          <w:rFonts w:cs="Times New Roman"/>
          <w:sz w:val="30"/>
          <w:szCs w:val="30"/>
        </w:rPr>
        <w:t>: 16</w:t>
      </w:r>
      <w:r w:rsidRPr="006315CB">
        <w:rPr>
          <w:rFonts w:cs="Times New Roman"/>
          <w:sz w:val="30"/>
          <w:szCs w:val="30"/>
        </w:rPr>
        <w:t xml:space="preserve"> vụ</w:t>
      </w:r>
      <w:r w:rsidR="006D5D26" w:rsidRPr="006315CB">
        <w:rPr>
          <w:rFonts w:cs="Times New Roman"/>
          <w:sz w:val="30"/>
          <w:szCs w:val="30"/>
        </w:rPr>
        <w:t>/42</w:t>
      </w:r>
      <w:r w:rsidRPr="006315CB">
        <w:rPr>
          <w:rFonts w:cs="Times New Roman"/>
          <w:sz w:val="30"/>
          <w:szCs w:val="30"/>
        </w:rPr>
        <w:t xml:space="preserve"> bị can; </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Lạm dụng chức vụ, quyền hạn chiếm đoạt tài sả</w:t>
      </w:r>
      <w:r w:rsidR="006D5D26" w:rsidRPr="006315CB">
        <w:rPr>
          <w:rFonts w:cs="Times New Roman"/>
          <w:sz w:val="30"/>
          <w:szCs w:val="30"/>
        </w:rPr>
        <w:t>n: 18</w:t>
      </w:r>
      <w:r w:rsidRPr="006315CB">
        <w:rPr>
          <w:rFonts w:cs="Times New Roman"/>
          <w:sz w:val="30"/>
          <w:szCs w:val="30"/>
        </w:rPr>
        <w:t xml:space="preserve"> vụ</w:t>
      </w:r>
      <w:r w:rsidR="006D5D26" w:rsidRPr="006315CB">
        <w:rPr>
          <w:rFonts w:cs="Times New Roman"/>
          <w:sz w:val="30"/>
          <w:szCs w:val="30"/>
        </w:rPr>
        <w:t>/23</w:t>
      </w:r>
      <w:r w:rsidRPr="006315CB">
        <w:rPr>
          <w:rFonts w:cs="Times New Roman"/>
          <w:sz w:val="30"/>
          <w:szCs w:val="30"/>
        </w:rPr>
        <w:t xml:space="preserve"> bị can; </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Lợi dụng chức vụ, quyền hạn trong khi thi hành công vụ</w:t>
      </w:r>
      <w:r w:rsidR="006D5D26" w:rsidRPr="006315CB">
        <w:rPr>
          <w:rFonts w:cs="Times New Roman"/>
          <w:sz w:val="30"/>
          <w:szCs w:val="30"/>
        </w:rPr>
        <w:t>: 26</w:t>
      </w:r>
      <w:r w:rsidRPr="006315CB">
        <w:rPr>
          <w:rFonts w:cs="Times New Roman"/>
          <w:sz w:val="30"/>
          <w:szCs w:val="30"/>
        </w:rPr>
        <w:t xml:space="preserve"> vụ</w:t>
      </w:r>
      <w:r w:rsidR="006D5D26" w:rsidRPr="006315CB">
        <w:rPr>
          <w:rFonts w:cs="Times New Roman"/>
          <w:sz w:val="30"/>
          <w:szCs w:val="30"/>
        </w:rPr>
        <w:t>/82</w:t>
      </w:r>
      <w:r w:rsidRPr="006315CB">
        <w:rPr>
          <w:rFonts w:cs="Times New Roman"/>
          <w:sz w:val="30"/>
          <w:szCs w:val="30"/>
        </w:rPr>
        <w:t xml:space="preserve"> bị can;</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Các tộ</w:t>
      </w:r>
      <w:r w:rsidR="006D5D26" w:rsidRPr="006315CB">
        <w:rPr>
          <w:rFonts w:cs="Times New Roman"/>
          <w:sz w:val="30"/>
          <w:szCs w:val="30"/>
        </w:rPr>
        <w:t>i tham nhũng khác: 17</w:t>
      </w:r>
      <w:r w:rsidRPr="006315CB">
        <w:rPr>
          <w:rFonts w:cs="Times New Roman"/>
          <w:sz w:val="30"/>
          <w:szCs w:val="30"/>
        </w:rPr>
        <w:t xml:space="preserve"> vụ</w:t>
      </w:r>
      <w:r w:rsidR="006D5D26" w:rsidRPr="006315CB">
        <w:rPr>
          <w:rFonts w:cs="Times New Roman"/>
          <w:sz w:val="30"/>
          <w:szCs w:val="30"/>
        </w:rPr>
        <w:t>/46</w:t>
      </w:r>
      <w:r w:rsidRPr="006315CB">
        <w:rPr>
          <w:rFonts w:cs="Times New Roman"/>
          <w:sz w:val="30"/>
          <w:szCs w:val="30"/>
        </w:rPr>
        <w:t xml:space="preserve"> bị can. </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Viện Kiểm sát các cấp đã truy tố</w:t>
      </w:r>
      <w:r w:rsidR="006D5D26" w:rsidRPr="006315CB">
        <w:rPr>
          <w:rFonts w:cs="Times New Roman"/>
          <w:sz w:val="30"/>
          <w:szCs w:val="30"/>
        </w:rPr>
        <w:t>: 173</w:t>
      </w:r>
      <w:r w:rsidRPr="006315CB">
        <w:rPr>
          <w:rFonts w:cs="Times New Roman"/>
          <w:sz w:val="30"/>
          <w:szCs w:val="30"/>
        </w:rPr>
        <w:t xml:space="preserve"> vụ</w:t>
      </w:r>
      <w:r w:rsidR="006D5D26" w:rsidRPr="006315CB">
        <w:rPr>
          <w:rFonts w:cs="Times New Roman"/>
          <w:sz w:val="30"/>
          <w:szCs w:val="30"/>
        </w:rPr>
        <w:t>/415</w:t>
      </w:r>
      <w:r w:rsidRPr="006315CB">
        <w:rPr>
          <w:rFonts w:cs="Times New Roman"/>
          <w:sz w:val="30"/>
          <w:szCs w:val="30"/>
        </w:rPr>
        <w:t xml:space="preserve"> bị can về các tộ</w:t>
      </w:r>
      <w:r w:rsidR="006D5D26" w:rsidRPr="006315CB">
        <w:rPr>
          <w:rFonts w:cs="Times New Roman"/>
          <w:sz w:val="30"/>
          <w:szCs w:val="30"/>
        </w:rPr>
        <w:t>i danh tham nhũng (tăng 15</w:t>
      </w:r>
      <w:r w:rsidRPr="006315CB">
        <w:rPr>
          <w:rFonts w:cs="Times New Roman"/>
          <w:sz w:val="30"/>
          <w:szCs w:val="30"/>
        </w:rPr>
        <w:t xml:space="preserve"> vụ</w:t>
      </w:r>
      <w:r w:rsidR="006D5D26" w:rsidRPr="006315CB">
        <w:rPr>
          <w:rFonts w:cs="Times New Roman"/>
          <w:sz w:val="30"/>
          <w:szCs w:val="30"/>
        </w:rPr>
        <w:t>, 24</w:t>
      </w:r>
      <w:r w:rsidRPr="006315CB">
        <w:rPr>
          <w:rFonts w:cs="Times New Roman"/>
          <w:sz w:val="30"/>
          <w:szCs w:val="30"/>
        </w:rPr>
        <w:t xml:space="preserve"> bị can so với cùng kỳ của năm 2012).</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 Tòa án các cấp đã xét xử theo thủ tục sơ thẩ</w:t>
      </w:r>
      <w:r w:rsidR="006D5D26" w:rsidRPr="006315CB">
        <w:rPr>
          <w:rFonts w:cs="Times New Roman"/>
          <w:sz w:val="30"/>
          <w:szCs w:val="30"/>
        </w:rPr>
        <w:t>m 109</w:t>
      </w:r>
      <w:r w:rsidRPr="006315CB">
        <w:rPr>
          <w:rFonts w:cs="Times New Roman"/>
          <w:sz w:val="30"/>
          <w:szCs w:val="30"/>
        </w:rPr>
        <w:t xml:space="preserve"> vụ/196 bị cáo về tộ</w:t>
      </w:r>
      <w:r w:rsidR="00107CF2" w:rsidRPr="006315CB">
        <w:rPr>
          <w:rFonts w:cs="Times New Roman"/>
          <w:sz w:val="30"/>
          <w:szCs w:val="30"/>
        </w:rPr>
        <w:t xml:space="preserve">i danh tham nhũng (tăng 27 </w:t>
      </w:r>
      <w:r w:rsidRPr="006315CB">
        <w:rPr>
          <w:rFonts w:cs="Times New Roman"/>
          <w:sz w:val="30"/>
          <w:szCs w:val="30"/>
        </w:rPr>
        <w:t>vụ</w:t>
      </w:r>
      <w:r w:rsidR="00107CF2" w:rsidRPr="006315CB">
        <w:rPr>
          <w:rFonts w:cs="Times New Roman"/>
          <w:sz w:val="30"/>
          <w:szCs w:val="30"/>
        </w:rPr>
        <w:t>, 38</w:t>
      </w:r>
      <w:r w:rsidRPr="006315CB">
        <w:rPr>
          <w:rFonts w:cs="Times New Roman"/>
          <w:sz w:val="30"/>
          <w:szCs w:val="30"/>
        </w:rPr>
        <w:t xml:space="preserve"> bị cáo so với cùng kỳ của năm 2012). </w:t>
      </w:r>
    </w:p>
    <w:p w:rsidR="00DC2222" w:rsidRPr="006315CB" w:rsidRDefault="00DC2222" w:rsidP="00B25761">
      <w:pPr>
        <w:spacing w:before="120" w:after="0" w:line="330" w:lineRule="exact"/>
        <w:ind w:firstLine="720"/>
        <w:jc w:val="both"/>
        <w:rPr>
          <w:rFonts w:cs="Times New Roman"/>
          <w:b/>
          <w:i/>
          <w:sz w:val="30"/>
          <w:szCs w:val="30"/>
        </w:rPr>
      </w:pPr>
      <w:r w:rsidRPr="006315CB">
        <w:rPr>
          <w:rFonts w:cs="Times New Roman"/>
          <w:b/>
          <w:sz w:val="30"/>
          <w:szCs w:val="30"/>
        </w:rPr>
        <w:t xml:space="preserve">6. </w:t>
      </w:r>
      <w:r w:rsidR="00263536" w:rsidRPr="006315CB">
        <w:rPr>
          <w:rFonts w:cs="Times New Roman"/>
          <w:b/>
          <w:sz w:val="30"/>
          <w:szCs w:val="30"/>
        </w:rPr>
        <w:t xml:space="preserve">Hoạt động của Ban Chỉ đạo Trung ương về PCTN và Cơ quan Thường trực của Ban Chỉ đạo </w:t>
      </w:r>
    </w:p>
    <w:p w:rsidR="00263536" w:rsidRPr="006315CB" w:rsidRDefault="00DC2222" w:rsidP="00B25761">
      <w:pPr>
        <w:spacing w:before="120" w:after="0" w:line="330" w:lineRule="exact"/>
        <w:ind w:firstLine="720"/>
        <w:jc w:val="both"/>
        <w:rPr>
          <w:rFonts w:cs="Times New Roman"/>
          <w:i/>
          <w:sz w:val="30"/>
          <w:szCs w:val="30"/>
          <w:lang w:val="en-US"/>
        </w:rPr>
      </w:pPr>
      <w:r w:rsidRPr="006315CB">
        <w:rPr>
          <w:rFonts w:cs="Times New Roman"/>
          <w:i/>
          <w:sz w:val="30"/>
          <w:szCs w:val="30"/>
        </w:rPr>
        <w:t xml:space="preserve">a- Ban Chỉ đạo Trung ương </w:t>
      </w:r>
      <w:r w:rsidR="00836F0B" w:rsidRPr="006315CB">
        <w:rPr>
          <w:rFonts w:cs="Times New Roman"/>
          <w:i/>
          <w:sz w:val="30"/>
          <w:szCs w:val="30"/>
          <w:lang w:val="en-US"/>
        </w:rPr>
        <w:t>về PCTN</w:t>
      </w:r>
    </w:p>
    <w:p w:rsidR="00DC2222" w:rsidRPr="006315CB" w:rsidRDefault="00DC2222" w:rsidP="00B25761">
      <w:pPr>
        <w:spacing w:before="120" w:after="0" w:line="330" w:lineRule="exact"/>
        <w:ind w:firstLine="720"/>
        <w:jc w:val="both"/>
        <w:rPr>
          <w:rFonts w:cs="Times New Roman"/>
          <w:sz w:val="30"/>
          <w:szCs w:val="30"/>
        </w:rPr>
      </w:pPr>
      <w:r w:rsidRPr="006315CB">
        <w:rPr>
          <w:rFonts w:cs="Times New Roman"/>
          <w:sz w:val="30"/>
          <w:szCs w:val="30"/>
        </w:rPr>
        <w:t>Ngày 01-02-2013, Bộ Chính trị đã có Quyết định thành lập, Quy định chức năng, nhiệm vụ, quyền hạn, chế độ làm việc, quan hệ công tác của Ban Chỉ đạo Trung ương</w:t>
      </w:r>
      <w:r w:rsidR="00586FAB" w:rsidRPr="006315CB">
        <w:rPr>
          <w:rFonts w:cs="Times New Roman"/>
          <w:sz w:val="30"/>
          <w:szCs w:val="30"/>
          <w:lang w:val="en-US"/>
        </w:rPr>
        <w:t xml:space="preserve"> về PCTN</w:t>
      </w:r>
      <w:r w:rsidRPr="006315CB">
        <w:rPr>
          <w:rFonts w:cs="Times New Roman"/>
          <w:sz w:val="30"/>
          <w:szCs w:val="30"/>
        </w:rPr>
        <w:t xml:space="preserve">. Để nhanh chóng ổn định về tổ chức và hoạt </w:t>
      </w:r>
      <w:r w:rsidRPr="006315CB">
        <w:rPr>
          <w:rFonts w:cs="Times New Roman"/>
          <w:sz w:val="30"/>
          <w:szCs w:val="30"/>
        </w:rPr>
        <w:lastRenderedPageBreak/>
        <w:t xml:space="preserve">động, Ban Chỉ đạo Trung ương </w:t>
      </w:r>
      <w:r w:rsidR="004343F7" w:rsidRPr="006315CB">
        <w:rPr>
          <w:rFonts w:cs="Times New Roman"/>
          <w:sz w:val="30"/>
          <w:szCs w:val="30"/>
        </w:rPr>
        <w:t xml:space="preserve">về PCTN </w:t>
      </w:r>
      <w:r w:rsidRPr="006315CB">
        <w:rPr>
          <w:rFonts w:cs="Times New Roman"/>
          <w:sz w:val="30"/>
          <w:szCs w:val="30"/>
        </w:rPr>
        <w:t>đã tổ chức 02 Phiên họp; khẩn trương xây dựng, ban hành Quy chế làm việc; Quyết định phân công nhiệm vụ các thành viên Ban Chỉ đạo; Chương trình công tác trọng tâm năm 2013 của Ban Chỉ đạo; bàn chỉ đạo việc phối hợp, kiểm tra, đôn đốc công tác PCTN</w:t>
      </w:r>
      <w:r w:rsidRPr="006315CB">
        <w:rPr>
          <w:rFonts w:cs="Times New Roman"/>
          <w:i/>
          <w:sz w:val="30"/>
          <w:szCs w:val="30"/>
        </w:rPr>
        <w:t xml:space="preserve">. </w:t>
      </w:r>
      <w:r w:rsidRPr="006315CB">
        <w:rPr>
          <w:rFonts w:cs="Times New Roman"/>
          <w:sz w:val="30"/>
          <w:szCs w:val="30"/>
        </w:rPr>
        <w:t xml:space="preserve">Các thành viên Ban Chỉ đạo </w:t>
      </w:r>
      <w:r w:rsidR="004343F7" w:rsidRPr="006315CB">
        <w:rPr>
          <w:rFonts w:cs="Times New Roman"/>
          <w:sz w:val="30"/>
          <w:szCs w:val="30"/>
        </w:rPr>
        <w:t xml:space="preserve">Trung ương về PCTN </w:t>
      </w:r>
      <w:r w:rsidRPr="006315CB">
        <w:rPr>
          <w:rFonts w:cs="Times New Roman"/>
          <w:sz w:val="30"/>
          <w:szCs w:val="30"/>
        </w:rPr>
        <w:t>đã có nhiều cố gắng trong thực hiện nhiệm vụ PCTN thông qua việc thực hiện chức năng, nhiệm vụ của bộ, ngành do mình quản lý, phụ trách (xây dựng pháp luật, kiểm tra, thanh tra, điều tra, truy tố, xét xử, kiểm toán, giám sát, tổ chức cán bộ, tuyên truyền…).</w:t>
      </w:r>
    </w:p>
    <w:p w:rsidR="00263536" w:rsidRPr="006315CB" w:rsidRDefault="00263536" w:rsidP="006315CB">
      <w:pPr>
        <w:spacing w:before="120" w:after="0" w:line="240" w:lineRule="auto"/>
        <w:ind w:firstLine="720"/>
        <w:jc w:val="both"/>
        <w:rPr>
          <w:rFonts w:cs="Times New Roman"/>
          <w:i/>
          <w:sz w:val="30"/>
          <w:szCs w:val="30"/>
        </w:rPr>
      </w:pPr>
      <w:r w:rsidRPr="006315CB">
        <w:rPr>
          <w:rFonts w:cs="Times New Roman"/>
          <w:i/>
          <w:sz w:val="30"/>
          <w:szCs w:val="30"/>
        </w:rPr>
        <w:t>b- Cơ quan Thường trực của Ban Chỉ đạo Trung ương về PCTN (Ban Nội chính Trung ương)</w:t>
      </w:r>
    </w:p>
    <w:p w:rsidR="00DC2222" w:rsidRPr="00B25761" w:rsidRDefault="00DC2222" w:rsidP="006315CB">
      <w:pPr>
        <w:spacing w:before="120" w:after="0" w:line="240" w:lineRule="auto"/>
        <w:ind w:firstLine="720"/>
        <w:jc w:val="both"/>
        <w:rPr>
          <w:rFonts w:cs="Times New Roman"/>
          <w:spacing w:val="-2"/>
          <w:sz w:val="30"/>
          <w:szCs w:val="30"/>
        </w:rPr>
      </w:pPr>
      <w:r w:rsidRPr="00B25761">
        <w:rPr>
          <w:rFonts w:cs="Times New Roman"/>
          <w:spacing w:val="-2"/>
          <w:sz w:val="30"/>
          <w:szCs w:val="30"/>
        </w:rPr>
        <w:t>Ngay sau khi Bộ Chính trị có Quyết định thành lập</w:t>
      </w:r>
      <w:r w:rsidR="004F77DA" w:rsidRPr="00B25761">
        <w:rPr>
          <w:rFonts w:cs="Times New Roman"/>
          <w:spacing w:val="-2"/>
          <w:sz w:val="30"/>
          <w:szCs w:val="30"/>
        </w:rPr>
        <w:t xml:space="preserve"> và </w:t>
      </w:r>
      <w:r w:rsidRPr="00B25761">
        <w:rPr>
          <w:rFonts w:cs="Times New Roman"/>
          <w:spacing w:val="-2"/>
          <w:sz w:val="30"/>
          <w:szCs w:val="30"/>
        </w:rPr>
        <w:t xml:space="preserve">chức năng, nhiệm vụ, quyền hạn, chế độ làm việc, quan hệ công tác, Ban Nội chính Trung ương - Cơ quan Thường trực của Ban Chỉ đạo đã nhanh chóng điều động, sắp xếp tổ chức, nhân sự; ban hành Quyết định về chức năng, nhiệm vụ, tổ chức bộ máy các đơn vị thuộc Ban; xây dựng, ban hành Quy chế làm việc, Chương trình công tác năm 2013 của Ban; đang triển khai xây dựng Quy chế phối hợp giữa Ban Nội chính Trung ương với Đảng ủy Công an Trung ương, Ban cán sự </w:t>
      </w:r>
      <w:r w:rsidR="006435E4" w:rsidRPr="00B25761">
        <w:rPr>
          <w:rFonts w:cs="Times New Roman"/>
          <w:spacing w:val="-2"/>
          <w:sz w:val="30"/>
          <w:szCs w:val="30"/>
        </w:rPr>
        <w:t>đ</w:t>
      </w:r>
      <w:r w:rsidRPr="00B25761">
        <w:rPr>
          <w:rFonts w:cs="Times New Roman"/>
          <w:spacing w:val="-2"/>
          <w:sz w:val="30"/>
          <w:szCs w:val="30"/>
        </w:rPr>
        <w:t xml:space="preserve">ảng Viện Kiểm sát nhân dân tối cao, Ban cán sự </w:t>
      </w:r>
      <w:r w:rsidR="006435E4" w:rsidRPr="00B25761">
        <w:rPr>
          <w:rFonts w:cs="Times New Roman"/>
          <w:spacing w:val="-2"/>
          <w:sz w:val="30"/>
          <w:szCs w:val="30"/>
        </w:rPr>
        <w:t>đ</w:t>
      </w:r>
      <w:r w:rsidRPr="00B25761">
        <w:rPr>
          <w:rFonts w:cs="Times New Roman"/>
          <w:spacing w:val="-2"/>
          <w:sz w:val="30"/>
          <w:szCs w:val="30"/>
        </w:rPr>
        <w:t>ảng Tòa án nhân dân tối cao, Ủy ban Kiểm tra Trung ương trong PCTN. Đến nay, tổ chức, bộ máy, biên chế của Ban Nội chính Trung ương đã cơ bản ổn định, với 9 đơn vị trực thuộc và 131 cán bộ, công chức, viên chức. Ban Nội chính Trung ương đã phối hợp với Văn phòng Trung ương Đảng, Văn phòng Tổng Bí thư chuẩn bị nội dung, tổ chức phục vụ 2 Phiên họp của Ban Chỉ đạo Trung ương</w:t>
      </w:r>
      <w:r w:rsidR="006A29E8" w:rsidRPr="00B25761">
        <w:rPr>
          <w:rFonts w:cs="Times New Roman"/>
          <w:spacing w:val="-2"/>
          <w:sz w:val="30"/>
          <w:szCs w:val="30"/>
        </w:rPr>
        <w:t xml:space="preserve"> về PCTN</w:t>
      </w:r>
      <w:r w:rsidRPr="00B25761">
        <w:rPr>
          <w:rFonts w:cs="Times New Roman"/>
          <w:spacing w:val="-2"/>
          <w:sz w:val="30"/>
          <w:szCs w:val="30"/>
        </w:rPr>
        <w:t>. Lãnh đạo Ban Nội chính Trung ương và các vụ chức năng đã làm việc với Ban cán sự đảng Viện Kiểm sát nhân dân tối cao, Cơ quan Cảnh sát điều tra Bộ Công an để nghe báo cáo về nội dung, tiến độ xử lý một số vụ việc, vụ án tham nhũng nghiêm trọng, phức tạp; thường xuyên theo dõi, đôn đốc công tác PCTN của các bộ, ngành, địa phương.</w:t>
      </w:r>
    </w:p>
    <w:p w:rsidR="00DC2222" w:rsidRPr="006315CB" w:rsidRDefault="00DC2222" w:rsidP="006315CB">
      <w:pPr>
        <w:pStyle w:val="Title"/>
        <w:spacing w:line="240" w:lineRule="auto"/>
        <w:ind w:firstLine="720"/>
        <w:jc w:val="both"/>
        <w:rPr>
          <w:rFonts w:ascii="Times New Roman" w:hAnsi="Times New Roman"/>
          <w:sz w:val="30"/>
          <w:szCs w:val="30"/>
          <w:lang w:val="vi-VN"/>
        </w:rPr>
      </w:pPr>
      <w:r w:rsidRPr="006315CB">
        <w:rPr>
          <w:rFonts w:ascii="Times New Roman" w:hAnsi="Times New Roman"/>
          <w:sz w:val="30"/>
          <w:szCs w:val="30"/>
          <w:lang w:val="vi-VN"/>
        </w:rPr>
        <w:t>7. Việc thành lập các Ban Nội chính tỉnh ủy, thành ủy</w:t>
      </w:r>
    </w:p>
    <w:p w:rsidR="00DC2222" w:rsidRPr="006315CB" w:rsidRDefault="00DC2222" w:rsidP="006315CB">
      <w:pPr>
        <w:spacing w:before="120" w:after="0" w:line="240" w:lineRule="auto"/>
        <w:ind w:firstLine="720"/>
        <w:jc w:val="both"/>
        <w:rPr>
          <w:rFonts w:cs="Times New Roman"/>
          <w:bCs/>
          <w:iCs/>
          <w:color w:val="FF0000"/>
          <w:sz w:val="30"/>
          <w:szCs w:val="30"/>
        </w:rPr>
      </w:pPr>
      <w:r w:rsidRPr="006315CB">
        <w:rPr>
          <w:rFonts w:cs="Times New Roman"/>
          <w:bCs/>
          <w:iCs/>
          <w:sz w:val="30"/>
          <w:szCs w:val="30"/>
        </w:rPr>
        <w:t>Thực hiện Quy định của Ban Bí thư và hướng dẫn của Ban Tổ chức Trung ương về việc thành lập Ban Nội chính tỉnh ủy, thành ủy, là cơ quan tham mưu giúp tỉnh ủy, thành ủy trong công tác nội chính và PCTN, đế</w:t>
      </w:r>
      <w:r w:rsidR="00263536" w:rsidRPr="006315CB">
        <w:rPr>
          <w:rFonts w:cs="Times New Roman"/>
          <w:bCs/>
          <w:iCs/>
          <w:sz w:val="30"/>
          <w:szCs w:val="30"/>
        </w:rPr>
        <w:t>n nay đã có 53</w:t>
      </w:r>
      <w:r w:rsidRPr="006315CB">
        <w:rPr>
          <w:rFonts w:cs="Times New Roman"/>
          <w:bCs/>
          <w:iCs/>
          <w:sz w:val="30"/>
          <w:szCs w:val="30"/>
        </w:rPr>
        <w:t xml:space="preserve"> tỉnh, thành phố trực thuộc Trung ương quyết định thành lập Ban Nội chính tỉnh ủy, thành ủ</w:t>
      </w:r>
      <w:r w:rsidR="00263536" w:rsidRPr="006315CB">
        <w:rPr>
          <w:rFonts w:cs="Times New Roman"/>
          <w:bCs/>
          <w:iCs/>
          <w:sz w:val="30"/>
          <w:szCs w:val="30"/>
        </w:rPr>
        <w:t>y; 10</w:t>
      </w:r>
      <w:r w:rsidRPr="006315CB">
        <w:rPr>
          <w:rFonts w:cs="Times New Roman"/>
          <w:bCs/>
          <w:iCs/>
          <w:sz w:val="30"/>
          <w:szCs w:val="30"/>
        </w:rPr>
        <w:t xml:space="preserve"> tỉnh, thành phố còn lại đang tiến hành các công việc chuẩn bị, dự kiến trong tháng 7 sẽ thành lập. Việc thành lập Ban Nội chính các tỉnh ủy, thành ủy cơ bản theo đúng Quy định của Ban Bí thư và hướng dẫn của Ban Tổ chức Trung ương. Trưởng Ban Nội chính các tỉnh ủy, thành ủy mới được thành lập có 14 đồng chí là Ủy viên Ban Thường vụ </w:t>
      </w:r>
      <w:r w:rsidRPr="006315CB">
        <w:rPr>
          <w:rFonts w:cs="Times New Roman"/>
          <w:bCs/>
          <w:iCs/>
          <w:sz w:val="30"/>
          <w:szCs w:val="30"/>
        </w:rPr>
        <w:lastRenderedPageBreak/>
        <w:t>tỉnh ủy, thành ủ</w:t>
      </w:r>
      <w:r w:rsidR="00263536" w:rsidRPr="006315CB">
        <w:rPr>
          <w:rFonts w:cs="Times New Roman"/>
          <w:bCs/>
          <w:iCs/>
          <w:sz w:val="30"/>
          <w:szCs w:val="30"/>
        </w:rPr>
        <w:t>y; 33</w:t>
      </w:r>
      <w:r w:rsidRPr="006315CB">
        <w:rPr>
          <w:rFonts w:cs="Times New Roman"/>
          <w:bCs/>
          <w:iCs/>
          <w:sz w:val="30"/>
          <w:szCs w:val="30"/>
        </w:rPr>
        <w:t xml:space="preserve"> đồng chí là Tỉnh ủy viên, Thành ủy viên, có quy hoạch Ủy viên Ban Thường vụ khóa tới.</w:t>
      </w:r>
      <w:r w:rsidRPr="006315CB">
        <w:rPr>
          <w:rFonts w:cs="Times New Roman"/>
          <w:bCs/>
          <w:iCs/>
          <w:color w:val="FF0000"/>
          <w:sz w:val="30"/>
          <w:szCs w:val="30"/>
        </w:rPr>
        <w:t xml:space="preserve"> </w:t>
      </w:r>
    </w:p>
    <w:p w:rsidR="00DC2222" w:rsidRPr="006315CB" w:rsidRDefault="00DC2222" w:rsidP="006315CB">
      <w:pPr>
        <w:spacing w:before="120" w:after="0" w:line="240" w:lineRule="auto"/>
        <w:ind w:firstLine="720"/>
        <w:jc w:val="both"/>
        <w:rPr>
          <w:b/>
          <w:iCs/>
          <w:sz w:val="30"/>
          <w:szCs w:val="30"/>
        </w:rPr>
      </w:pPr>
      <w:r w:rsidRPr="006315CB">
        <w:rPr>
          <w:rFonts w:cs="Times New Roman"/>
          <w:b/>
          <w:sz w:val="30"/>
          <w:szCs w:val="30"/>
        </w:rPr>
        <w:t xml:space="preserve">8. </w:t>
      </w:r>
      <w:r w:rsidRPr="006315CB">
        <w:rPr>
          <w:rFonts w:eastAsia="Arial" w:cs="Times New Roman"/>
          <w:b/>
          <w:iCs/>
          <w:sz w:val="30"/>
          <w:szCs w:val="30"/>
        </w:rPr>
        <w:t xml:space="preserve">Hoạt động giám sát về PCTN của các cơ quan dân cử </w:t>
      </w:r>
    </w:p>
    <w:p w:rsidR="00DC2222" w:rsidRPr="006315CB" w:rsidRDefault="00DC2222" w:rsidP="006315CB">
      <w:pPr>
        <w:spacing w:before="120" w:after="0" w:line="240" w:lineRule="auto"/>
        <w:ind w:firstLine="720"/>
        <w:jc w:val="both"/>
        <w:rPr>
          <w:color w:val="FF0000"/>
          <w:sz w:val="30"/>
          <w:szCs w:val="30"/>
        </w:rPr>
      </w:pPr>
      <w:r w:rsidRPr="006315CB">
        <w:rPr>
          <w:sz w:val="30"/>
          <w:szCs w:val="30"/>
        </w:rPr>
        <w:t xml:space="preserve">Hoạt động giám sát của Quốc hội đối với công tác PCTN tiếp tục được thực hiện lồng ghép thông qua thảo luận các báo cáo kinh tế - xã hội tại các kỳ họp Quốc hội; chất vấn các thành viên Chính phủ; giám sát chuyên đề của các Ủy ban của Quốc hội. Trong 6 tháng đầu năm, Ủy ban Tư pháp của Quốc hội đã triển khai giám sát chuyên đề về xử lý tội phạm tham nhũng và chức vụ tại một số địa phương và cơ quan có liên quan; </w:t>
      </w:r>
      <w:r w:rsidR="00541DA5" w:rsidRPr="006315CB">
        <w:rPr>
          <w:sz w:val="30"/>
          <w:szCs w:val="30"/>
        </w:rPr>
        <w:t>tổ chức</w:t>
      </w:r>
      <w:r w:rsidRPr="006315CB">
        <w:rPr>
          <w:sz w:val="30"/>
          <w:szCs w:val="30"/>
        </w:rPr>
        <w:t xml:space="preserve"> </w:t>
      </w:r>
      <w:r w:rsidR="00541DA5" w:rsidRPr="006315CB">
        <w:rPr>
          <w:sz w:val="30"/>
          <w:szCs w:val="30"/>
        </w:rPr>
        <w:t>P</w:t>
      </w:r>
      <w:r w:rsidRPr="006315CB">
        <w:rPr>
          <w:sz w:val="30"/>
          <w:szCs w:val="30"/>
        </w:rPr>
        <w:t xml:space="preserve">hiên </w:t>
      </w:r>
      <w:r w:rsidR="00541DA5" w:rsidRPr="006315CB">
        <w:rPr>
          <w:sz w:val="30"/>
          <w:szCs w:val="30"/>
        </w:rPr>
        <w:t>giải trình</w:t>
      </w:r>
      <w:r w:rsidRPr="006315CB">
        <w:rPr>
          <w:sz w:val="30"/>
          <w:szCs w:val="30"/>
        </w:rPr>
        <w:t xml:space="preserve"> của một số cơ quan nhà nước về chuyên đề: việc phát hiện và xử lý hành vi tham nhũng thuộc trách nhiệm của các cơ quan hành chính nhà nước; chuẩn bị tiến hành khảo sát về công tác PCTN ở một số địa phương để chuẩn bị cho cuộc họp thẩm tra báo cáo của Chính phủ về công tác PCTN năm 2013. Trong chương trình giám sát của Hội đồng nhân dân thường có nội dung xem xét, đánh giá và tiếp thu ý kiến của cử tri về PCTN.</w:t>
      </w:r>
    </w:p>
    <w:p w:rsidR="00DC2222" w:rsidRPr="006315CB" w:rsidRDefault="00DC2222" w:rsidP="006315CB">
      <w:pPr>
        <w:widowControl w:val="0"/>
        <w:spacing w:before="120" w:after="0" w:line="240" w:lineRule="auto"/>
        <w:ind w:firstLine="720"/>
        <w:jc w:val="both"/>
        <w:rPr>
          <w:rFonts w:cs="Times New Roman"/>
          <w:b/>
          <w:sz w:val="30"/>
          <w:szCs w:val="30"/>
        </w:rPr>
      </w:pPr>
      <w:r w:rsidRPr="006315CB">
        <w:rPr>
          <w:rFonts w:cs="Times New Roman"/>
          <w:b/>
          <w:sz w:val="30"/>
          <w:szCs w:val="30"/>
        </w:rPr>
        <w:t>9. Vai trò, trách nhiệm của xã hội trong PCTN</w:t>
      </w:r>
    </w:p>
    <w:p w:rsidR="00733977" w:rsidRPr="006315CB" w:rsidRDefault="00DC2222" w:rsidP="006315CB">
      <w:pPr>
        <w:pStyle w:val="Title"/>
        <w:widowControl w:val="0"/>
        <w:spacing w:line="240" w:lineRule="auto"/>
        <w:ind w:firstLine="720"/>
        <w:jc w:val="both"/>
        <w:rPr>
          <w:rFonts w:ascii="Times New Roman" w:hAnsi="Times New Roman"/>
          <w:b w:val="0"/>
          <w:bCs/>
          <w:kern w:val="2"/>
          <w:sz w:val="30"/>
          <w:szCs w:val="30"/>
          <w:lang w:val="vi-VN"/>
        </w:rPr>
      </w:pPr>
      <w:r w:rsidRPr="006315CB">
        <w:rPr>
          <w:rFonts w:ascii="Times New Roman" w:hAnsi="Times New Roman"/>
          <w:b w:val="0"/>
          <w:bCs/>
          <w:sz w:val="30"/>
          <w:szCs w:val="30"/>
          <w:lang w:val="vi-VN"/>
        </w:rPr>
        <w:t>Ủy ban Mặt trận Tổ quốc các cấp và một số tổ chức thành viên đã tích cực tuyên truyền, phổ biến, giáo dục pháp luật về PCTN cho hội viên; tham gia giám sát các hoạt động PCTN</w:t>
      </w:r>
      <w:r w:rsidRPr="006315CB">
        <w:rPr>
          <w:rFonts w:ascii="Times New Roman" w:hAnsi="Times New Roman"/>
          <w:b w:val="0"/>
          <w:bCs/>
          <w:kern w:val="2"/>
          <w:sz w:val="30"/>
          <w:szCs w:val="30"/>
          <w:lang w:val="vi-VN"/>
        </w:rPr>
        <w:t>; tổ chức các hòm thư để người dân tố cáo tham nhũng; kiến nghị các cơ quan có thẩm quyền trong việc giải quyết các khiếu nại, tố cáo của người dân; vận động người dân lên án các hành vi tham nhũng; biểu dương những cá nhân có thành tích trong PCTN.</w:t>
      </w:r>
      <w:r w:rsidR="00733977" w:rsidRPr="006315CB">
        <w:rPr>
          <w:rFonts w:ascii="Times New Roman" w:hAnsi="Times New Roman"/>
          <w:b w:val="0"/>
          <w:bCs/>
          <w:kern w:val="2"/>
          <w:sz w:val="30"/>
          <w:szCs w:val="30"/>
          <w:lang w:val="vi-VN"/>
        </w:rPr>
        <w:t xml:space="preserve"> </w:t>
      </w:r>
    </w:p>
    <w:p w:rsidR="00DC2222" w:rsidRPr="006315CB" w:rsidRDefault="00733977" w:rsidP="006315CB">
      <w:pPr>
        <w:pStyle w:val="Title"/>
        <w:widowControl w:val="0"/>
        <w:spacing w:line="240" w:lineRule="auto"/>
        <w:ind w:firstLine="720"/>
        <w:jc w:val="both"/>
        <w:rPr>
          <w:rFonts w:ascii="Times New Roman" w:hAnsi="Times New Roman"/>
          <w:b w:val="0"/>
          <w:bCs/>
          <w:kern w:val="2"/>
          <w:sz w:val="30"/>
          <w:szCs w:val="30"/>
          <w:lang w:val="vi-VN"/>
        </w:rPr>
      </w:pPr>
      <w:r w:rsidRPr="006315CB">
        <w:rPr>
          <w:rFonts w:ascii="Times New Roman" w:hAnsi="Times New Roman"/>
          <w:b w:val="0"/>
          <w:bCs/>
          <w:kern w:val="2"/>
          <w:sz w:val="30"/>
          <w:szCs w:val="30"/>
          <w:lang w:val="vi-VN"/>
        </w:rPr>
        <w:t>Trong 6 tháng đầu năm, Ủy ban Mặt trận Tổ quốc các địa phương tập trung củng cố tổ chức và chỉ đạo hoạt động của các Ban Thanh tra nhân dân xã, phường, thị trấn, Ban Giám sát đầu tư của cộng đồng để giám sát công tác PCTN, nhất là trong các lĩnh vực dễ xảy ra tham nhũng.</w:t>
      </w:r>
    </w:p>
    <w:p w:rsidR="00DC2222" w:rsidRPr="006315CB" w:rsidRDefault="00DC2222" w:rsidP="006315CB">
      <w:pPr>
        <w:pStyle w:val="Title"/>
        <w:widowControl w:val="0"/>
        <w:spacing w:line="240" w:lineRule="auto"/>
        <w:ind w:firstLine="720"/>
        <w:jc w:val="both"/>
        <w:rPr>
          <w:rFonts w:ascii="Times New Roman" w:hAnsi="Times New Roman"/>
          <w:b w:val="0"/>
          <w:bCs/>
          <w:kern w:val="2"/>
          <w:sz w:val="30"/>
          <w:szCs w:val="30"/>
          <w:lang w:val="vi-VN"/>
        </w:rPr>
      </w:pPr>
      <w:r w:rsidRPr="006315CB">
        <w:rPr>
          <w:rFonts w:ascii="Times New Roman" w:hAnsi="Times New Roman"/>
          <w:sz w:val="30"/>
          <w:szCs w:val="30"/>
          <w:lang w:val="vi-VN"/>
        </w:rPr>
        <w:t>10. Hợp tác quốc tế về PCTN</w:t>
      </w:r>
    </w:p>
    <w:p w:rsidR="00DC2222" w:rsidRPr="006315CB" w:rsidRDefault="00DC2222" w:rsidP="006315CB">
      <w:pPr>
        <w:pStyle w:val="ListParagraph"/>
        <w:spacing w:line="240" w:lineRule="auto"/>
        <w:ind w:left="0" w:firstLine="720"/>
        <w:jc w:val="both"/>
        <w:rPr>
          <w:sz w:val="30"/>
          <w:szCs w:val="30"/>
          <w:lang w:val="vi-VN"/>
        </w:rPr>
      </w:pPr>
      <w:r w:rsidRPr="006315CB">
        <w:rPr>
          <w:sz w:val="30"/>
          <w:szCs w:val="30"/>
          <w:lang w:val="vi-VN"/>
        </w:rPr>
        <w:t>Thanh tra Chính phủ phối hợp với Ngân hàng Thế giới và các đơn vị liên quan tổ chức Chương trình Sáng kiến PCTN Việt Nam 2013 với chủ đề “Tăng cường minh bạch, liêm chính và trách nhiệm, giảm tham nhũng”; tích cực, chủ động phối hợp với các nhà tài trợ triển khai kế hoạch tổ chức đối thoại PCTN lần thứ 12 với chủ đề “Vai trò của doanh nghiệp và khu vực tư nhân trong công tác PCTN”; phát hành ấn phẩm Báo cáo quốc gia của Việt Nam đánh giá thực hiện Công ước của Liên hợp quốc về Chống tham nhũng (UNCAC). Kiểm toán Nhà nước đã tổ chức Cuộc họp lần thứ 2 của Đề án nghiên cứu thứ 10 ASOSAI “Kiểm toán phát hiện gian lận và tham nhũng: Đánh giá cuộc chiến chống tham nhũng và rửa tiền”. Các cơ quan chức năng của Việt Nam đã gặp gỡ, trao đổi về PCTN với các đối tác Trung Quốc, Nhật Bản, Hàn Quốc, Lào, Thái Lan, Singapore và Indonesia…</w:t>
      </w:r>
    </w:p>
    <w:p w:rsidR="00DC2222" w:rsidRPr="006315CB" w:rsidRDefault="00DC2222" w:rsidP="006315CB">
      <w:pPr>
        <w:pStyle w:val="ListParagraph"/>
        <w:spacing w:line="240" w:lineRule="auto"/>
        <w:ind w:left="0" w:firstLine="720"/>
        <w:contextualSpacing w:val="0"/>
        <w:jc w:val="both"/>
        <w:rPr>
          <w:b/>
          <w:i/>
          <w:sz w:val="30"/>
          <w:szCs w:val="30"/>
          <w:lang w:val="vi-VN"/>
        </w:rPr>
      </w:pPr>
      <w:r w:rsidRPr="006315CB">
        <w:rPr>
          <w:b/>
          <w:i/>
          <w:sz w:val="30"/>
          <w:szCs w:val="30"/>
          <w:lang w:val="vi-VN"/>
        </w:rPr>
        <w:lastRenderedPageBreak/>
        <w:t>Đánh giá chung:</w:t>
      </w:r>
    </w:p>
    <w:p w:rsidR="000D6DF2" w:rsidRPr="006315CB" w:rsidRDefault="00DC2222" w:rsidP="006315CB">
      <w:pPr>
        <w:widowControl w:val="0"/>
        <w:spacing w:before="120" w:after="0" w:line="240" w:lineRule="auto"/>
        <w:ind w:firstLine="720"/>
        <w:jc w:val="both"/>
        <w:rPr>
          <w:rFonts w:cs="Times New Roman"/>
          <w:sz w:val="30"/>
          <w:szCs w:val="30"/>
          <w:lang w:val="pt-BR"/>
        </w:rPr>
      </w:pPr>
      <w:r w:rsidRPr="006315CB">
        <w:rPr>
          <w:rFonts w:cs="Times New Roman"/>
          <w:i/>
          <w:sz w:val="30"/>
          <w:szCs w:val="30"/>
          <w:lang w:val="pt-BR"/>
        </w:rPr>
        <w:t>Về tình hình tham nhũng:</w:t>
      </w:r>
      <w:r w:rsidRPr="006315CB">
        <w:rPr>
          <w:rFonts w:cs="Times New Roman"/>
          <w:sz w:val="30"/>
          <w:szCs w:val="30"/>
          <w:lang w:val="pt-BR"/>
        </w:rPr>
        <w:t xml:space="preserve"> Trong 6 tháng đầu năm tình hình tham nhũng vẫn diễn ra nghiêm trọng, với những biểu hiện tinh vi, phức tạp. Tuy nhiên, do tình hình kinh tế khó khăn, thị trường bất động sản trầm lắng, hoạt động cho vay của các ngân hàng, tổ chức tín dụng được kiểm soát chặt chẽ hơn, vốn đầu tư phát triển đạt thấp so với kế hoạch</w:t>
      </w:r>
      <w:r w:rsidR="000D6DF2" w:rsidRPr="006315CB">
        <w:rPr>
          <w:rFonts w:cs="Times New Roman"/>
          <w:sz w:val="30"/>
          <w:szCs w:val="30"/>
          <w:lang w:val="pt-BR"/>
        </w:rPr>
        <w:t xml:space="preserve"> đã </w:t>
      </w:r>
      <w:r w:rsidRPr="006315CB">
        <w:rPr>
          <w:rFonts w:eastAsia="Times New Roman" w:cs="Times New Roman"/>
          <w:sz w:val="30"/>
          <w:szCs w:val="30"/>
          <w:lang w:val="da-DK" w:eastAsia="vi-VN"/>
        </w:rPr>
        <w:t>làm giảm cơ hội phát sinh tham nhũng trong một số lĩnh vực, như: đất đai, tài chính, ngân hàng, đầu tư công.</w:t>
      </w:r>
      <w:r w:rsidR="000D6DF2" w:rsidRPr="006315CB">
        <w:rPr>
          <w:rFonts w:eastAsia="Times New Roman" w:cs="Times New Roman"/>
          <w:sz w:val="30"/>
          <w:szCs w:val="30"/>
          <w:lang w:val="da-DK" w:eastAsia="vi-VN"/>
        </w:rPr>
        <w:t xml:space="preserve"> </w:t>
      </w:r>
      <w:r w:rsidR="0021752B" w:rsidRPr="006315CB">
        <w:rPr>
          <w:rFonts w:eastAsia="Times New Roman" w:cs="Times New Roman"/>
          <w:sz w:val="30"/>
          <w:szCs w:val="30"/>
          <w:lang w:val="da-DK" w:eastAsia="vi-VN"/>
        </w:rPr>
        <w:t xml:space="preserve">Đồng thời, </w:t>
      </w:r>
      <w:r w:rsidR="001A7B1B" w:rsidRPr="006315CB">
        <w:rPr>
          <w:rFonts w:cs="Times New Roman"/>
          <w:sz w:val="30"/>
          <w:szCs w:val="30"/>
          <w:lang w:val="pt-BR"/>
        </w:rPr>
        <w:t>việc</w:t>
      </w:r>
      <w:r w:rsidR="001A7B1B" w:rsidRPr="006315CB">
        <w:rPr>
          <w:rFonts w:eastAsia="Times New Roman" w:cs="Times New Roman"/>
          <w:sz w:val="30"/>
          <w:szCs w:val="30"/>
          <w:lang w:val="da-DK" w:eastAsia="vi-VN"/>
        </w:rPr>
        <w:t xml:space="preserve"> xử lý công khai một số vụ việc, vụ án tham nhũng nghiêm trọng </w:t>
      </w:r>
      <w:r w:rsidR="001A7B1B" w:rsidRPr="006315CB">
        <w:rPr>
          <w:rFonts w:cs="Times New Roman"/>
          <w:sz w:val="30"/>
          <w:szCs w:val="30"/>
          <w:lang w:val="pt-BR"/>
        </w:rPr>
        <w:t xml:space="preserve">kết hợp với hiệu ứng tích cực có được từ đợt sinh hoạt chính trị trong toàn Đảng triển khai thực hiện </w:t>
      </w:r>
      <w:r w:rsidR="001A7B1B" w:rsidRPr="006315CB">
        <w:rPr>
          <w:rFonts w:cs="Times New Roman"/>
          <w:sz w:val="30"/>
          <w:szCs w:val="30"/>
        </w:rPr>
        <w:t>kiểm điểm</w:t>
      </w:r>
      <w:r w:rsidR="001A7B1B" w:rsidRPr="006315CB">
        <w:rPr>
          <w:rFonts w:cs="Times New Roman"/>
          <w:sz w:val="30"/>
          <w:szCs w:val="30"/>
          <w:lang w:val="da-DK"/>
        </w:rPr>
        <w:t xml:space="preserve"> tự phê bình và phê bình </w:t>
      </w:r>
      <w:r w:rsidR="001A7B1B" w:rsidRPr="006315CB">
        <w:rPr>
          <w:rFonts w:cs="Times New Roman"/>
          <w:sz w:val="30"/>
          <w:szCs w:val="30"/>
        </w:rPr>
        <w:t>theo</w:t>
      </w:r>
      <w:r w:rsidR="001A7B1B" w:rsidRPr="006315CB">
        <w:rPr>
          <w:rFonts w:cs="Times New Roman"/>
          <w:sz w:val="30"/>
          <w:szCs w:val="30"/>
          <w:lang w:val="pt-BR"/>
        </w:rPr>
        <w:t xml:space="preserve"> </w:t>
      </w:r>
      <w:r w:rsidR="001A7B1B" w:rsidRPr="006315CB">
        <w:rPr>
          <w:rFonts w:cs="Times New Roman"/>
          <w:sz w:val="30"/>
          <w:szCs w:val="30"/>
        </w:rPr>
        <w:t xml:space="preserve">Nghị quyết Trung ương </w:t>
      </w:r>
      <w:r w:rsidR="001A7B1B" w:rsidRPr="006315CB">
        <w:rPr>
          <w:rFonts w:cs="Times New Roman"/>
          <w:sz w:val="30"/>
          <w:szCs w:val="30"/>
          <w:lang w:val="pt-BR"/>
        </w:rPr>
        <w:t xml:space="preserve">4 </w:t>
      </w:r>
      <w:r w:rsidR="001A7B1B" w:rsidRPr="006315CB">
        <w:rPr>
          <w:rFonts w:cs="Times New Roman"/>
          <w:sz w:val="30"/>
          <w:szCs w:val="30"/>
        </w:rPr>
        <w:t>(khóa XI)</w:t>
      </w:r>
      <w:r w:rsidR="001A7B1B" w:rsidRPr="006315CB">
        <w:rPr>
          <w:rFonts w:cs="Times New Roman"/>
          <w:sz w:val="30"/>
          <w:szCs w:val="30"/>
          <w:lang w:val="da-DK"/>
        </w:rPr>
        <w:t xml:space="preserve"> “</w:t>
      </w:r>
      <w:r w:rsidR="001A7B1B" w:rsidRPr="006315CB">
        <w:rPr>
          <w:rFonts w:eastAsia="Times New Roman" w:cs="Times New Roman"/>
          <w:sz w:val="30"/>
          <w:szCs w:val="30"/>
          <w:lang w:eastAsia="vi-VN"/>
        </w:rPr>
        <w:t>Một số vấn đề cấp bách về xây dựng Đảng hiện nay</w:t>
      </w:r>
      <w:r w:rsidR="001A7B1B" w:rsidRPr="006315CB">
        <w:rPr>
          <w:rFonts w:eastAsia="Times New Roman" w:cs="Times New Roman"/>
          <w:sz w:val="30"/>
          <w:szCs w:val="30"/>
          <w:lang w:val="da-DK" w:eastAsia="vi-VN"/>
        </w:rPr>
        <w:t>” đã có tác dụng răn đe, phòng ngừa tham nhũng.</w:t>
      </w:r>
      <w:r w:rsidR="00C953A7" w:rsidRPr="006315CB">
        <w:rPr>
          <w:rFonts w:eastAsia="Times New Roman" w:cs="Times New Roman"/>
          <w:sz w:val="30"/>
          <w:szCs w:val="30"/>
          <w:lang w:val="da-DK" w:eastAsia="vi-VN"/>
        </w:rPr>
        <w:t xml:space="preserve"> </w:t>
      </w:r>
      <w:r w:rsidR="001A7B1B" w:rsidRPr="006315CB">
        <w:rPr>
          <w:rFonts w:eastAsia="Times New Roman" w:cs="Times New Roman"/>
          <w:sz w:val="30"/>
          <w:szCs w:val="30"/>
          <w:lang w:val="da-DK" w:eastAsia="vi-VN"/>
        </w:rPr>
        <w:t xml:space="preserve">Bên cạnh đó, </w:t>
      </w:r>
      <w:r w:rsidR="000D6DF2" w:rsidRPr="006315CB">
        <w:rPr>
          <w:rFonts w:cs="Times New Roman"/>
          <w:sz w:val="30"/>
          <w:szCs w:val="30"/>
          <w:lang w:val="pt-BR"/>
        </w:rPr>
        <w:t>do việc làm, thu nhập, đời sống của một bộ phận xã hội vẫn gặp nhiều khó khăn, nên các hành vi tham nhũng nhỏ không giảm, thậm chí trong một số lĩnh vực có biểu hiện gia tăng</w:t>
      </w:r>
      <w:r w:rsidR="002B40EF" w:rsidRPr="006315CB">
        <w:rPr>
          <w:rFonts w:cs="Times New Roman"/>
          <w:sz w:val="30"/>
          <w:szCs w:val="30"/>
          <w:lang w:val="pt-BR"/>
        </w:rPr>
        <w:t>.</w:t>
      </w:r>
      <w:r w:rsidR="000D6DF2" w:rsidRPr="006315CB">
        <w:rPr>
          <w:rFonts w:cs="Times New Roman"/>
          <w:color w:val="FF0000"/>
          <w:sz w:val="30"/>
          <w:szCs w:val="30"/>
          <w:lang w:val="pt-BR"/>
        </w:rPr>
        <w:t xml:space="preserve">   </w:t>
      </w:r>
    </w:p>
    <w:p w:rsidR="00DC2222" w:rsidRPr="006315CB" w:rsidRDefault="00DC2222" w:rsidP="006315CB">
      <w:pPr>
        <w:widowControl w:val="0"/>
        <w:spacing w:before="120" w:after="0" w:line="240" w:lineRule="auto"/>
        <w:ind w:firstLine="720"/>
        <w:jc w:val="both"/>
        <w:rPr>
          <w:rFonts w:cs="Times New Roman"/>
          <w:sz w:val="30"/>
          <w:szCs w:val="30"/>
          <w:lang w:val="pt-BR"/>
        </w:rPr>
      </w:pPr>
      <w:r w:rsidRPr="006315CB">
        <w:rPr>
          <w:rFonts w:cs="Times New Roman"/>
          <w:i/>
          <w:sz w:val="30"/>
          <w:szCs w:val="30"/>
          <w:lang w:val="pt-BR"/>
        </w:rPr>
        <w:t>Về công tác PCTN</w:t>
      </w:r>
      <w:r w:rsidRPr="006315CB">
        <w:rPr>
          <w:rFonts w:cs="Times New Roman"/>
          <w:sz w:val="30"/>
          <w:szCs w:val="30"/>
          <w:lang w:val="pt-BR"/>
        </w:rPr>
        <w:t>: Trong 6 tháng đầu năm, công tác PCTN tiếp tục được sự quan tâm lãnh đạo, chỉ đạo của Đảng, Nhà nước và đạt được kết quả tích cực trong một số mặt công tác</w:t>
      </w:r>
      <w:r w:rsidR="005973AA" w:rsidRPr="006315CB">
        <w:rPr>
          <w:rFonts w:cs="Times New Roman"/>
          <w:sz w:val="30"/>
          <w:szCs w:val="30"/>
          <w:lang w:val="pt-BR"/>
        </w:rPr>
        <w:t>,</w:t>
      </w:r>
      <w:r w:rsidR="00096DFD" w:rsidRPr="006315CB">
        <w:rPr>
          <w:rFonts w:cs="Times New Roman"/>
          <w:sz w:val="30"/>
          <w:szCs w:val="30"/>
          <w:lang w:val="pt-BR"/>
        </w:rPr>
        <w:t xml:space="preserve"> như</w:t>
      </w:r>
      <w:r w:rsidRPr="006315CB">
        <w:rPr>
          <w:rFonts w:cs="Times New Roman"/>
          <w:sz w:val="30"/>
          <w:szCs w:val="30"/>
          <w:lang w:val="pt-BR"/>
        </w:rPr>
        <w:t>: xây dựng và hoàn thiện thể chế; công khai</w:t>
      </w:r>
      <w:r w:rsidR="008B68D6" w:rsidRPr="006315CB">
        <w:rPr>
          <w:rFonts w:cs="Times New Roman"/>
          <w:sz w:val="30"/>
          <w:szCs w:val="30"/>
          <w:lang w:val="pt-BR"/>
        </w:rPr>
        <w:t>,</w:t>
      </w:r>
      <w:r w:rsidRPr="006315CB">
        <w:rPr>
          <w:rFonts w:cs="Times New Roman"/>
          <w:sz w:val="30"/>
          <w:szCs w:val="30"/>
          <w:lang w:val="pt-BR"/>
        </w:rPr>
        <w:t xml:space="preserve"> minh bạch trong hoạt động của các cơ quan, tổ chức, đơn vị; </w:t>
      </w:r>
      <w:r w:rsidR="00DC5D2B" w:rsidRPr="006315CB">
        <w:rPr>
          <w:rFonts w:cs="Times New Roman"/>
          <w:sz w:val="30"/>
          <w:szCs w:val="30"/>
          <w:lang w:val="pt-BR"/>
        </w:rPr>
        <w:t xml:space="preserve">công tác </w:t>
      </w:r>
      <w:r w:rsidRPr="006315CB">
        <w:rPr>
          <w:rFonts w:cs="Times New Roman"/>
          <w:sz w:val="30"/>
          <w:szCs w:val="30"/>
          <w:lang w:val="pt-BR"/>
        </w:rPr>
        <w:t xml:space="preserve">thông tin, tuyên truyền </w:t>
      </w:r>
      <w:r w:rsidR="00DC5D2B" w:rsidRPr="006315CB">
        <w:rPr>
          <w:rFonts w:cs="Times New Roman"/>
          <w:sz w:val="30"/>
          <w:szCs w:val="30"/>
          <w:lang w:val="pt-BR"/>
        </w:rPr>
        <w:t xml:space="preserve">và vai trò của báo chí trong </w:t>
      </w:r>
      <w:r w:rsidRPr="006315CB">
        <w:rPr>
          <w:rFonts w:cs="Times New Roman"/>
          <w:sz w:val="30"/>
          <w:szCs w:val="30"/>
          <w:lang w:val="pt-BR"/>
        </w:rPr>
        <w:t xml:space="preserve">PCTN; thành lập, củng cố về tổ chức, hoạt động của Ban Chỉ đạo Trung ương về PCTN, Ban Nội chính Trung ương - Cơ quan Thường trực của Ban Chỉ đạo và các Ban Nội chính tỉnh ủy, thành ủy.  </w:t>
      </w:r>
    </w:p>
    <w:p w:rsidR="00DC2222" w:rsidRPr="006315CB" w:rsidRDefault="00DC2222" w:rsidP="006315CB">
      <w:pPr>
        <w:widowControl w:val="0"/>
        <w:spacing w:before="120" w:after="0" w:line="240" w:lineRule="auto"/>
        <w:ind w:firstLine="720"/>
        <w:jc w:val="both"/>
        <w:rPr>
          <w:rFonts w:cs="Times New Roman"/>
          <w:sz w:val="30"/>
          <w:szCs w:val="30"/>
          <w:lang w:val="pt-BR"/>
        </w:rPr>
      </w:pPr>
      <w:r w:rsidRPr="006315CB">
        <w:rPr>
          <w:rFonts w:cs="Times New Roman"/>
          <w:sz w:val="30"/>
          <w:szCs w:val="30"/>
          <w:lang w:val="pt-BR"/>
        </w:rPr>
        <w:t>Bên cạnh những kết quả đã đạt được, công tác PCTN vẫn còn nh</w:t>
      </w:r>
      <w:r w:rsidR="00677CEF" w:rsidRPr="006315CB">
        <w:rPr>
          <w:rFonts w:cs="Times New Roman"/>
          <w:sz w:val="30"/>
          <w:szCs w:val="30"/>
          <w:lang w:val="pt-BR"/>
        </w:rPr>
        <w:t>iều</w:t>
      </w:r>
      <w:r w:rsidRPr="006315CB">
        <w:rPr>
          <w:rFonts w:cs="Times New Roman"/>
          <w:sz w:val="30"/>
          <w:szCs w:val="30"/>
          <w:lang w:val="pt-BR"/>
        </w:rPr>
        <w:t xml:space="preserve"> hạn chế, như: việc thực hiện các giải pháp phòng ngừa tham nhũng tại nhiều cơ quan, tổ chức, đơn vị còn mang tính hình thức; việc sửa đổi, bổ sung một số quy định của pháp luật về các giải pháp phòng ngừa tham nhũng còn chậm (chuyển đổi vị trí công tác, xử lý trách nhiệm người đứng đầu...);</w:t>
      </w:r>
      <w:r w:rsidR="00677CEF" w:rsidRPr="006315CB">
        <w:rPr>
          <w:rFonts w:cs="Times New Roman"/>
          <w:sz w:val="30"/>
          <w:szCs w:val="30"/>
          <w:lang w:val="pt-BR"/>
        </w:rPr>
        <w:t xml:space="preserve"> công tác giám định tư pháp phục vụ xử lý án tham nhũng, án kinh tế có dấu hiệu tham nhũng còn nhiều bất cập</w:t>
      </w:r>
      <w:r w:rsidRPr="006315CB">
        <w:rPr>
          <w:rFonts w:cs="Times New Roman"/>
          <w:sz w:val="30"/>
          <w:szCs w:val="30"/>
          <w:lang w:val="pt-BR"/>
        </w:rPr>
        <w:t xml:space="preserve">; việc tự kiểm tra, phát hiện tham nhũng trong các cơ quan, tổ chức, đơn vị còn yếu; việc phát hiện, xử lý tội phạm tham nhũng còn ít so với </w:t>
      </w:r>
      <w:r w:rsidR="00D255C5" w:rsidRPr="006315CB">
        <w:rPr>
          <w:rFonts w:cs="Times New Roman"/>
          <w:sz w:val="30"/>
          <w:szCs w:val="30"/>
          <w:lang w:val="pt-BR"/>
        </w:rPr>
        <w:t xml:space="preserve">thực trạng </w:t>
      </w:r>
      <w:r w:rsidRPr="006315CB">
        <w:rPr>
          <w:rFonts w:cs="Times New Roman"/>
          <w:sz w:val="30"/>
          <w:szCs w:val="30"/>
          <w:lang w:val="pt-BR"/>
        </w:rPr>
        <w:t>tình hình tham nhũng</w:t>
      </w:r>
      <w:r w:rsidRPr="006315CB">
        <w:rPr>
          <w:rFonts w:cs="Times New Roman"/>
          <w:sz w:val="30"/>
          <w:szCs w:val="30"/>
          <w:vertAlign w:val="superscript"/>
          <w:lang w:val="pt-BR"/>
        </w:rPr>
        <w:t>(</w:t>
      </w:r>
      <w:r w:rsidRPr="006315CB">
        <w:rPr>
          <w:rStyle w:val="FootnoteReference"/>
          <w:rFonts w:cs="Times New Roman"/>
          <w:sz w:val="30"/>
          <w:szCs w:val="30"/>
          <w:lang w:val="pt-BR"/>
        </w:rPr>
        <w:footnoteReference w:id="9"/>
      </w:r>
      <w:r w:rsidRPr="006315CB">
        <w:rPr>
          <w:rFonts w:cs="Times New Roman"/>
          <w:sz w:val="30"/>
          <w:szCs w:val="30"/>
          <w:vertAlign w:val="superscript"/>
          <w:lang w:val="pt-BR"/>
        </w:rPr>
        <w:t>)</w:t>
      </w:r>
      <w:r w:rsidR="00677CEF" w:rsidRPr="006315CB">
        <w:rPr>
          <w:rFonts w:cs="Times New Roman"/>
          <w:sz w:val="30"/>
          <w:szCs w:val="30"/>
          <w:lang w:val="pt-BR"/>
        </w:rPr>
        <w:t xml:space="preserve">; tiến độ </w:t>
      </w:r>
      <w:r w:rsidRPr="006315CB">
        <w:rPr>
          <w:rFonts w:cs="Times New Roman"/>
          <w:sz w:val="30"/>
          <w:szCs w:val="30"/>
          <w:lang w:val="pt-BR"/>
        </w:rPr>
        <w:t xml:space="preserve">xử lý một số vụ việc, vụ án tham nhũng nghiêm trọng, phức tạp còn chậm, kéo dài... </w:t>
      </w:r>
    </w:p>
    <w:p w:rsidR="00DC2222" w:rsidRPr="006315CB" w:rsidRDefault="00DC2222" w:rsidP="006315CB">
      <w:pPr>
        <w:widowControl w:val="0"/>
        <w:spacing w:before="120" w:after="0" w:line="240" w:lineRule="auto"/>
        <w:ind w:firstLine="720"/>
        <w:jc w:val="both"/>
        <w:rPr>
          <w:rFonts w:cs="Times New Roman"/>
          <w:i/>
          <w:color w:val="FF0000"/>
          <w:sz w:val="30"/>
          <w:szCs w:val="30"/>
          <w:lang w:val="pt-BR"/>
        </w:rPr>
      </w:pPr>
      <w:r w:rsidRPr="006315CB">
        <w:rPr>
          <w:rFonts w:cs="Times New Roman"/>
          <w:sz w:val="30"/>
          <w:szCs w:val="30"/>
          <w:lang w:val="pt-BR"/>
        </w:rPr>
        <w:t xml:space="preserve">Nguyên nhân của những hạn chế nêu trên là do nhiều cấp ủy, tổ chức đảng, cơ quan, tổ chức, đơn vị và cá nhân người đứng đầu chưa thực sự quan tâm tới việc lãnh đạo, chỉ đạo, kiểm tra, đôn đốc công tác PCTN; một số quy </w:t>
      </w:r>
      <w:r w:rsidRPr="00B25761">
        <w:rPr>
          <w:rFonts w:cs="Times New Roman"/>
          <w:spacing w:val="-2"/>
          <w:sz w:val="30"/>
          <w:szCs w:val="30"/>
          <w:lang w:val="pt-BR"/>
        </w:rPr>
        <w:lastRenderedPageBreak/>
        <w:t>định của pháp luật liên quan tới việc phát hiện, xử lý tham nhũng còn khó khăn, vướng mắc trong tổ chức thực hiện; năng lực của một số cán bộ, công chức làm công tác PCTN chưa đáp ứng yêu cầu; hiệu quả hoạt động của các cơ quan, đơn vị chức năng trong phát hiện, xử lý các hành vi tham nhũng còn hạn chế. Đáng chú ý là trong những tháng đầu năm, do có sự chuyển đổi về tổ chức, bộ máy của Ban Chỉ đạo và Văn phòng Ban Chỉ đạo Trung ương về PCTN; Ban Chỉ đạo các tỉnh, thành phố trực thuộc Trung ương về PCTN kết thúc hoạt động nên việc chỉ đạo, phối hợp, kiểm tra, đôn đốc công tác PCTN ở các địa phương có biểu hiện chững lại, chờ đợi hình thành tổ chức mới.</w:t>
      </w:r>
      <w:r w:rsidRPr="00B25761">
        <w:rPr>
          <w:rFonts w:cs="Times New Roman"/>
          <w:i/>
          <w:color w:val="FF0000"/>
          <w:spacing w:val="-2"/>
          <w:sz w:val="30"/>
          <w:szCs w:val="30"/>
          <w:lang w:val="pt-BR"/>
        </w:rPr>
        <w:t xml:space="preserve"> </w:t>
      </w:r>
    </w:p>
    <w:p w:rsidR="00DC2222" w:rsidRPr="006315CB" w:rsidRDefault="00DC2222" w:rsidP="006315CB">
      <w:pPr>
        <w:widowControl w:val="0"/>
        <w:spacing w:before="120" w:after="0" w:line="240" w:lineRule="auto"/>
        <w:ind w:firstLine="720"/>
        <w:jc w:val="both"/>
        <w:rPr>
          <w:rFonts w:cs="Times New Roman"/>
          <w:b/>
          <w:sz w:val="30"/>
          <w:szCs w:val="30"/>
          <w:lang w:val="pt-BR"/>
        </w:rPr>
      </w:pPr>
      <w:r w:rsidRPr="006315CB">
        <w:rPr>
          <w:rFonts w:cs="Times New Roman"/>
          <w:b/>
          <w:szCs w:val="30"/>
          <w:lang w:val="pt-BR"/>
        </w:rPr>
        <w:t>II. NHIỆM VỤ CÔNG TÁC PCTN 6 THÁNG CUỐI NĂM 2013</w:t>
      </w:r>
    </w:p>
    <w:p w:rsidR="00DC2222" w:rsidRPr="006315CB" w:rsidRDefault="00DC2222" w:rsidP="006315CB">
      <w:pPr>
        <w:spacing w:before="120" w:after="0" w:line="240" w:lineRule="auto"/>
        <w:ind w:firstLine="720"/>
        <w:jc w:val="both"/>
        <w:rPr>
          <w:rFonts w:cs="Times New Roman"/>
          <w:bCs/>
          <w:sz w:val="30"/>
          <w:szCs w:val="30"/>
          <w:lang w:val="pt-BR"/>
        </w:rPr>
      </w:pPr>
      <w:r w:rsidRPr="006315CB">
        <w:rPr>
          <w:rFonts w:cs="Times New Roman"/>
          <w:sz w:val="30"/>
          <w:szCs w:val="30"/>
          <w:lang w:val="pt-BR"/>
        </w:rPr>
        <w:t>1. Tiếp tục chỉ đạo công tác tuyên truyền, giáo dục về</w:t>
      </w:r>
      <w:r w:rsidR="002D1060" w:rsidRPr="006315CB">
        <w:rPr>
          <w:rFonts w:cs="Times New Roman"/>
          <w:sz w:val="30"/>
          <w:szCs w:val="30"/>
          <w:lang w:val="pt-BR"/>
        </w:rPr>
        <w:t xml:space="preserve"> PCTN, </w:t>
      </w:r>
      <w:r w:rsidRPr="006315CB">
        <w:rPr>
          <w:rFonts w:cs="Times New Roman"/>
          <w:sz w:val="30"/>
          <w:szCs w:val="30"/>
          <w:lang w:val="pt-BR"/>
        </w:rPr>
        <w:t xml:space="preserve">tập trung vào </w:t>
      </w:r>
      <w:r w:rsidR="00AA50F5" w:rsidRPr="006315CB">
        <w:rPr>
          <w:rFonts w:cs="Times New Roman"/>
          <w:sz w:val="30"/>
          <w:szCs w:val="30"/>
          <w:lang w:val="pt-BR"/>
        </w:rPr>
        <w:t xml:space="preserve">các công </w:t>
      </w:r>
      <w:r w:rsidRPr="006315CB">
        <w:rPr>
          <w:rFonts w:cs="Times New Roman"/>
          <w:sz w:val="30"/>
          <w:szCs w:val="30"/>
          <w:lang w:val="pt-BR"/>
        </w:rPr>
        <w:t>việc</w:t>
      </w:r>
      <w:r w:rsidR="002D1060" w:rsidRPr="006315CB">
        <w:rPr>
          <w:rFonts w:cs="Times New Roman"/>
          <w:sz w:val="30"/>
          <w:szCs w:val="30"/>
          <w:lang w:val="pt-BR"/>
        </w:rPr>
        <w:t>:</w:t>
      </w:r>
      <w:r w:rsidRPr="006315CB">
        <w:rPr>
          <w:rFonts w:cs="Times New Roman"/>
          <w:sz w:val="30"/>
          <w:szCs w:val="30"/>
          <w:lang w:val="pt-BR"/>
        </w:rPr>
        <w:t xml:space="preserve"> tuyên truyền </w:t>
      </w:r>
      <w:r w:rsidRPr="006315CB">
        <w:rPr>
          <w:rFonts w:cs="Times New Roman"/>
          <w:bCs/>
          <w:sz w:val="30"/>
          <w:szCs w:val="30"/>
        </w:rPr>
        <w:t>Nghị quyết Hội nghị lần thứ 4 Ban Chấp hành Trung ương Đả</w:t>
      </w:r>
      <w:r w:rsidR="002D1060" w:rsidRPr="006315CB">
        <w:rPr>
          <w:rFonts w:cs="Times New Roman"/>
          <w:bCs/>
          <w:sz w:val="30"/>
          <w:szCs w:val="30"/>
        </w:rPr>
        <w:t>ng (khóa XI)</w:t>
      </w:r>
      <w:r w:rsidR="002D1060" w:rsidRPr="006315CB">
        <w:rPr>
          <w:rFonts w:cs="Times New Roman"/>
          <w:bCs/>
          <w:sz w:val="30"/>
          <w:szCs w:val="30"/>
          <w:lang w:val="pt-BR"/>
        </w:rPr>
        <w:t xml:space="preserve">, </w:t>
      </w:r>
      <w:r w:rsidRPr="006315CB">
        <w:rPr>
          <w:rFonts w:cs="Times New Roman"/>
          <w:bCs/>
          <w:sz w:val="30"/>
          <w:szCs w:val="30"/>
        </w:rPr>
        <w:t>Kết luận Hội nghị lần thứ 5 Ban Chấp hành Trung ương Đảng (khóa XI)</w:t>
      </w:r>
      <w:r w:rsidRPr="006315CB">
        <w:rPr>
          <w:rFonts w:cs="Times New Roman"/>
          <w:bCs/>
          <w:sz w:val="30"/>
          <w:szCs w:val="30"/>
          <w:lang w:val="pt-BR"/>
        </w:rPr>
        <w:t xml:space="preserve"> về tăng cường sự lãnh đạo của Đảng đối với công tác PCTN, lãng phí</w:t>
      </w:r>
      <w:r w:rsidR="002D1060" w:rsidRPr="006315CB">
        <w:rPr>
          <w:rFonts w:cs="Times New Roman"/>
          <w:bCs/>
          <w:sz w:val="30"/>
          <w:szCs w:val="30"/>
          <w:lang w:val="pt-BR"/>
        </w:rPr>
        <w:t xml:space="preserve">, </w:t>
      </w:r>
      <w:r w:rsidRPr="006315CB">
        <w:rPr>
          <w:rFonts w:cs="Times New Roman"/>
          <w:bCs/>
          <w:sz w:val="30"/>
          <w:szCs w:val="30"/>
        </w:rPr>
        <w:t>Luật sửa đổi, bổ sung một số điều của Luật PCTN</w:t>
      </w:r>
      <w:r w:rsidRPr="006315CB">
        <w:rPr>
          <w:rFonts w:cs="Times New Roman"/>
          <w:bCs/>
          <w:sz w:val="30"/>
          <w:szCs w:val="30"/>
          <w:lang w:val="pt-BR"/>
        </w:rPr>
        <w:t xml:space="preserve"> và các văn bản hướng dẫ</w:t>
      </w:r>
      <w:r w:rsidR="002D1060" w:rsidRPr="006315CB">
        <w:rPr>
          <w:rFonts w:cs="Times New Roman"/>
          <w:bCs/>
          <w:sz w:val="30"/>
          <w:szCs w:val="30"/>
          <w:lang w:val="pt-BR"/>
        </w:rPr>
        <w:t xml:space="preserve">n thi hành; tăng cường chỉ đạo định hướng thông tin, tuyên truyền về PCTN, xử lý vi phạm quy định về quản lý, cung cấp thông tin và những hành vi lợi dụng việc thông tin, tuyên truyền về PCTN để gây mất đoàn kết nội bộ; </w:t>
      </w:r>
      <w:r w:rsidRPr="006315CB">
        <w:rPr>
          <w:rFonts w:cs="Times New Roman"/>
          <w:bCs/>
          <w:sz w:val="30"/>
          <w:szCs w:val="30"/>
          <w:lang w:val="pt-BR"/>
        </w:rPr>
        <w:t>triển khai đưa nội dung PCTN vào giảng dạy tại các cơ sở giáo dục, đào tạo.</w:t>
      </w:r>
    </w:p>
    <w:p w:rsidR="00DC2222" w:rsidRPr="00B25761" w:rsidRDefault="00DC2222" w:rsidP="006315CB">
      <w:pPr>
        <w:spacing w:before="120" w:after="0" w:line="240" w:lineRule="auto"/>
        <w:ind w:firstLine="720"/>
        <w:jc w:val="both"/>
        <w:rPr>
          <w:rFonts w:cs="Times New Roman"/>
          <w:spacing w:val="-2"/>
          <w:sz w:val="30"/>
          <w:szCs w:val="30"/>
        </w:rPr>
      </w:pPr>
      <w:r w:rsidRPr="00B25761">
        <w:rPr>
          <w:rFonts w:cs="Times New Roman"/>
          <w:spacing w:val="-2"/>
          <w:sz w:val="30"/>
          <w:szCs w:val="30"/>
        </w:rPr>
        <w:t>2. Tiếp tục chỉ đạo việc hoàn thiện thể chế về PCTN</w:t>
      </w:r>
      <w:r w:rsidRPr="00B25761">
        <w:rPr>
          <w:rFonts w:cs="Times New Roman"/>
          <w:spacing w:val="-2"/>
          <w:sz w:val="30"/>
          <w:szCs w:val="30"/>
          <w:lang w:val="pt-BR"/>
        </w:rPr>
        <w:t xml:space="preserve"> </w:t>
      </w:r>
      <w:r w:rsidRPr="00B25761">
        <w:rPr>
          <w:rFonts w:cs="Times New Roman"/>
          <w:spacing w:val="-2"/>
          <w:sz w:val="30"/>
          <w:szCs w:val="30"/>
        </w:rPr>
        <w:t xml:space="preserve">theo Kết luận Hội nghị </w:t>
      </w:r>
      <w:r w:rsidRPr="00B25761">
        <w:rPr>
          <w:rFonts w:cs="Times New Roman"/>
          <w:spacing w:val="-2"/>
          <w:sz w:val="30"/>
          <w:szCs w:val="30"/>
          <w:lang w:val="pt-BR"/>
        </w:rPr>
        <w:t xml:space="preserve">lần thứ 5 Ban Chấp hành </w:t>
      </w:r>
      <w:r w:rsidRPr="00B25761">
        <w:rPr>
          <w:rFonts w:cs="Times New Roman"/>
          <w:spacing w:val="-2"/>
          <w:sz w:val="30"/>
          <w:szCs w:val="30"/>
        </w:rPr>
        <w:t>Trung ương</w:t>
      </w:r>
      <w:r w:rsidRPr="00B25761">
        <w:rPr>
          <w:rFonts w:cs="Times New Roman"/>
          <w:spacing w:val="-2"/>
          <w:sz w:val="30"/>
          <w:szCs w:val="30"/>
          <w:lang w:val="pt-BR"/>
        </w:rPr>
        <w:t xml:space="preserve"> Đảng </w:t>
      </w:r>
      <w:r w:rsidRPr="00B25761">
        <w:rPr>
          <w:rFonts w:cs="Times New Roman"/>
          <w:spacing w:val="-2"/>
          <w:sz w:val="30"/>
          <w:szCs w:val="30"/>
        </w:rPr>
        <w:t xml:space="preserve">(khóa XI); </w:t>
      </w:r>
      <w:r w:rsidRPr="00B25761">
        <w:rPr>
          <w:rStyle w:val="strong-h"/>
          <w:rFonts w:cs="Times New Roman"/>
          <w:spacing w:val="-2"/>
          <w:sz w:val="30"/>
          <w:szCs w:val="30"/>
        </w:rPr>
        <w:t xml:space="preserve">Nghị quyết số 82/NQ-CP về </w:t>
      </w:r>
      <w:r w:rsidRPr="00B25761">
        <w:rPr>
          <w:rFonts w:cs="Times New Roman"/>
          <w:spacing w:val="-2"/>
          <w:sz w:val="30"/>
          <w:szCs w:val="30"/>
        </w:rPr>
        <w:t xml:space="preserve">Chương trình hành động của Chính phủ thực hiện Kết luận số 21-KL/TW của Hội nghị </w:t>
      </w:r>
      <w:r w:rsidRPr="00B25761">
        <w:rPr>
          <w:rFonts w:cs="Times New Roman"/>
          <w:spacing w:val="-2"/>
          <w:sz w:val="30"/>
          <w:szCs w:val="30"/>
          <w:lang w:val="pt-BR"/>
        </w:rPr>
        <w:t xml:space="preserve">lần thứ 5 Ban Chấp hành </w:t>
      </w:r>
      <w:r w:rsidRPr="00B25761">
        <w:rPr>
          <w:rFonts w:cs="Times New Roman"/>
          <w:spacing w:val="-2"/>
          <w:sz w:val="30"/>
          <w:szCs w:val="30"/>
        </w:rPr>
        <w:t>Trung ương</w:t>
      </w:r>
      <w:r w:rsidRPr="00B25761">
        <w:rPr>
          <w:rFonts w:cs="Times New Roman"/>
          <w:spacing w:val="-2"/>
          <w:sz w:val="30"/>
          <w:szCs w:val="30"/>
          <w:lang w:val="pt-BR"/>
        </w:rPr>
        <w:t xml:space="preserve"> Đảng </w:t>
      </w:r>
      <w:r w:rsidRPr="00B25761">
        <w:rPr>
          <w:rFonts w:cs="Times New Roman"/>
          <w:spacing w:val="-2"/>
          <w:sz w:val="30"/>
          <w:szCs w:val="30"/>
        </w:rPr>
        <w:t>(khóa XI)</w:t>
      </w:r>
      <w:r w:rsidRPr="00B25761">
        <w:rPr>
          <w:rStyle w:val="strong-h"/>
          <w:rFonts w:cs="Times New Roman"/>
          <w:spacing w:val="-2"/>
          <w:sz w:val="30"/>
          <w:szCs w:val="30"/>
        </w:rPr>
        <w:t xml:space="preserve">; </w:t>
      </w:r>
      <w:r w:rsidRPr="00B25761">
        <w:rPr>
          <w:rFonts w:cs="Times New Roman"/>
          <w:spacing w:val="-2"/>
          <w:sz w:val="30"/>
          <w:szCs w:val="30"/>
        </w:rPr>
        <w:t>nghiên cứu, tham gia sửa đổi, bổ sung Hiến pháp năm 1992 (các nội dung liên quan tới công tác</w:t>
      </w:r>
      <w:r w:rsidRPr="00B25761">
        <w:rPr>
          <w:rFonts w:cs="Times New Roman"/>
          <w:spacing w:val="-2"/>
          <w:sz w:val="30"/>
          <w:szCs w:val="30"/>
          <w:lang w:val="pt-BR"/>
        </w:rPr>
        <w:t xml:space="preserve"> PCTN)</w:t>
      </w:r>
      <w:r w:rsidRPr="00B25761">
        <w:rPr>
          <w:rFonts w:cs="Times New Roman"/>
          <w:spacing w:val="-2"/>
          <w:sz w:val="30"/>
          <w:szCs w:val="30"/>
        </w:rPr>
        <w:t xml:space="preserve">; khẩn trương xây dựng </w:t>
      </w:r>
      <w:r w:rsidR="00AF0F7D" w:rsidRPr="00B25761">
        <w:rPr>
          <w:rFonts w:cs="Times New Roman"/>
          <w:spacing w:val="-2"/>
          <w:sz w:val="30"/>
          <w:szCs w:val="30"/>
          <w:lang w:val="sv-SE"/>
        </w:rPr>
        <w:t xml:space="preserve">Nghị định quy định trách nhiệm giải trình của cán bộ, công chức, người đứng đầu cơ quan, tổ chức, đơn vị trong việc thực hiện nhiệm vụ, công vụ; </w:t>
      </w:r>
      <w:r w:rsidRPr="00B25761">
        <w:rPr>
          <w:rFonts w:cs="Times New Roman"/>
          <w:spacing w:val="-2"/>
          <w:sz w:val="30"/>
          <w:szCs w:val="30"/>
          <w:lang w:val="pt-BR"/>
        </w:rPr>
        <w:t xml:space="preserve">Nghị định quy định chi tiết và biện pháp thi hành Luật giám định tư pháp; </w:t>
      </w:r>
      <w:r w:rsidRPr="00B25761">
        <w:rPr>
          <w:rFonts w:cs="Times New Roman"/>
          <w:spacing w:val="-2"/>
          <w:sz w:val="30"/>
          <w:szCs w:val="30"/>
        </w:rPr>
        <w:t xml:space="preserve">Đề án </w:t>
      </w:r>
      <w:r w:rsidRPr="00B25761">
        <w:rPr>
          <w:rFonts w:cs="Times New Roman"/>
          <w:spacing w:val="-2"/>
          <w:sz w:val="30"/>
          <w:szCs w:val="30"/>
          <w:lang w:val="pt-BR"/>
        </w:rPr>
        <w:t xml:space="preserve">tăng cường </w:t>
      </w:r>
      <w:r w:rsidRPr="00B25761">
        <w:rPr>
          <w:rFonts w:cs="Times New Roman"/>
          <w:spacing w:val="-2"/>
          <w:sz w:val="30"/>
          <w:szCs w:val="30"/>
        </w:rPr>
        <w:t xml:space="preserve">thực hiện và kiểm soát việc kê khai tài sản theo quy định của Đảng và Nhà nước; Đề án kiểm soát thu nhập của người có chức vụ, quyền hạn; Quy định việc chi trả qua tài khoản đối với tất cả các khoản chi từ ngân sách Nhà nước cho cán bộ, công chức; </w:t>
      </w:r>
      <w:r w:rsidRPr="00B25761">
        <w:rPr>
          <w:rFonts w:cs="Times New Roman"/>
          <w:spacing w:val="-2"/>
          <w:sz w:val="30"/>
          <w:szCs w:val="30"/>
          <w:lang w:val="pt-BR"/>
        </w:rPr>
        <w:t xml:space="preserve">khẩn trương </w:t>
      </w:r>
      <w:r w:rsidRPr="00B25761">
        <w:rPr>
          <w:rFonts w:cs="Times New Roman"/>
          <w:spacing w:val="-2"/>
          <w:sz w:val="30"/>
          <w:szCs w:val="30"/>
        </w:rPr>
        <w:t>sửa đổi, bổ sung quy định về các giải pháp phòng ngừa tham nhũng đang được thực hiện nhưng hiệu quả thấp</w:t>
      </w:r>
      <w:r w:rsidRPr="00B25761">
        <w:rPr>
          <w:rFonts w:cs="Times New Roman"/>
          <w:spacing w:val="-2"/>
          <w:sz w:val="30"/>
          <w:szCs w:val="30"/>
          <w:lang w:val="pt-BR"/>
        </w:rPr>
        <w:t xml:space="preserve"> (</w:t>
      </w:r>
      <w:r w:rsidRPr="00B25761">
        <w:rPr>
          <w:rFonts w:cs="Times New Roman"/>
          <w:spacing w:val="-2"/>
          <w:sz w:val="30"/>
          <w:szCs w:val="30"/>
        </w:rPr>
        <w:t xml:space="preserve">chuyển đổi vị trí công tác của cán bộ, công chức, viên chức; xử lý trách nhiệm người đứng đầu khi để xảy ra tham nhũng trong cơ quan, tổ chức do mình quản lý, phụ trách; quy định về khen thưởng người có thành tích trong </w:t>
      </w:r>
      <w:r w:rsidRPr="00B25761">
        <w:rPr>
          <w:rFonts w:cs="Times New Roman"/>
          <w:spacing w:val="-2"/>
          <w:sz w:val="30"/>
          <w:szCs w:val="30"/>
          <w:lang w:val="pt-BR"/>
        </w:rPr>
        <w:t>PCTN)</w:t>
      </w:r>
      <w:r w:rsidRPr="00B25761">
        <w:rPr>
          <w:rFonts w:cs="Times New Roman"/>
          <w:spacing w:val="-2"/>
          <w:sz w:val="30"/>
          <w:szCs w:val="30"/>
        </w:rPr>
        <w:t>.</w:t>
      </w:r>
    </w:p>
    <w:p w:rsidR="00DC2222" w:rsidRPr="006315CB" w:rsidRDefault="00DC2222" w:rsidP="006315CB">
      <w:pPr>
        <w:widowControl w:val="0"/>
        <w:spacing w:before="120" w:after="0" w:line="240" w:lineRule="auto"/>
        <w:ind w:firstLine="720"/>
        <w:jc w:val="both"/>
        <w:rPr>
          <w:rFonts w:cs="Times New Roman"/>
          <w:sz w:val="30"/>
          <w:szCs w:val="30"/>
        </w:rPr>
      </w:pPr>
      <w:r w:rsidRPr="006315CB">
        <w:rPr>
          <w:rFonts w:cs="Times New Roman"/>
          <w:sz w:val="30"/>
          <w:szCs w:val="30"/>
        </w:rPr>
        <w:t>3. Chỉ đạo, đôn đốc các cấp ủy, tổ chức đảng tập trung lãnh đạo, chỉ đạo công tác điều tra, kiểm tra, thanh tra, kiểm toán nhằm phát hiện và xử lý kịp thời các vụ việc có dấu hiệu tiêu cực, tham nhũng.</w:t>
      </w:r>
    </w:p>
    <w:p w:rsidR="00DC2222" w:rsidRPr="006315CB" w:rsidRDefault="00DC2222" w:rsidP="006315CB">
      <w:pPr>
        <w:widowControl w:val="0"/>
        <w:spacing w:before="120" w:after="0" w:line="240" w:lineRule="auto"/>
        <w:ind w:firstLine="720"/>
        <w:jc w:val="both"/>
        <w:rPr>
          <w:rFonts w:cs="Times New Roman"/>
          <w:sz w:val="30"/>
          <w:szCs w:val="30"/>
        </w:rPr>
      </w:pPr>
      <w:r w:rsidRPr="006315CB">
        <w:rPr>
          <w:rFonts w:cs="Times New Roman"/>
          <w:sz w:val="30"/>
          <w:szCs w:val="30"/>
        </w:rPr>
        <w:lastRenderedPageBreak/>
        <w:t>Triển khai kế hoạch kiểm tra, giám sát việc thanh tra, khởi tố, điều tra, truy tố, xét xử; xét xử kịp thời, nghiêm minh những vụ án tham nhũng nghiêm trọng, phức tạp</w:t>
      </w:r>
      <w:r w:rsidR="00C27300" w:rsidRPr="006315CB">
        <w:rPr>
          <w:rFonts w:cs="Times New Roman"/>
          <w:sz w:val="30"/>
          <w:szCs w:val="30"/>
        </w:rPr>
        <w:t>,</w:t>
      </w:r>
      <w:r w:rsidRPr="006315CB">
        <w:rPr>
          <w:rFonts w:cs="Times New Roman"/>
          <w:sz w:val="30"/>
          <w:szCs w:val="30"/>
        </w:rPr>
        <w:t xml:space="preserve"> dư luận xã hội quan tâm, theo Kế hoạch số 08-KH/TW của Bộ Chính trị thực hiện Nghị quyết Hội nghị lần thứ 4 Ban Chấp hành Trung ương Đảng (khóa XI)</w:t>
      </w:r>
      <w:r w:rsidRPr="006315CB">
        <w:rPr>
          <w:rFonts w:cs="Times New Roman"/>
          <w:i/>
          <w:sz w:val="30"/>
          <w:szCs w:val="30"/>
        </w:rPr>
        <w:t>.</w:t>
      </w:r>
    </w:p>
    <w:p w:rsidR="00DC2222" w:rsidRPr="006315CB" w:rsidRDefault="00DC2222" w:rsidP="006315CB">
      <w:pPr>
        <w:widowControl w:val="0"/>
        <w:spacing w:before="120" w:after="0" w:line="240" w:lineRule="auto"/>
        <w:ind w:firstLine="720"/>
        <w:jc w:val="both"/>
        <w:rPr>
          <w:rFonts w:cs="Times New Roman"/>
          <w:i/>
          <w:sz w:val="30"/>
          <w:szCs w:val="30"/>
        </w:rPr>
      </w:pPr>
      <w:r w:rsidRPr="006315CB">
        <w:rPr>
          <w:rFonts w:cs="Times New Roman"/>
          <w:sz w:val="30"/>
          <w:szCs w:val="30"/>
        </w:rPr>
        <w:t xml:space="preserve">4. </w:t>
      </w:r>
      <w:r w:rsidR="00D255C5" w:rsidRPr="006315CB">
        <w:rPr>
          <w:rFonts w:cs="Times New Roman"/>
          <w:sz w:val="30"/>
          <w:szCs w:val="30"/>
        </w:rPr>
        <w:t>Tập trung chỉ đạo xử lý các v</w:t>
      </w:r>
      <w:r w:rsidRPr="006315CB">
        <w:rPr>
          <w:rFonts w:cs="Times New Roman"/>
          <w:sz w:val="30"/>
          <w:szCs w:val="30"/>
        </w:rPr>
        <w:t>ụ việc, vụ án tham nhũng, án kinh tế có dấu hiệu tham nhũng nghiêm trọng, phức tạp, dư luận xã hội quan tâm</w:t>
      </w:r>
      <w:r w:rsidRPr="006315CB">
        <w:rPr>
          <w:rFonts w:cs="Times New Roman"/>
          <w:i/>
          <w:sz w:val="30"/>
          <w:szCs w:val="30"/>
        </w:rPr>
        <w:t>.</w:t>
      </w:r>
    </w:p>
    <w:p w:rsidR="00DC2222" w:rsidRPr="006315CB" w:rsidRDefault="00DC2222" w:rsidP="006315CB">
      <w:pPr>
        <w:widowControl w:val="0"/>
        <w:spacing w:before="120" w:after="0" w:line="240" w:lineRule="auto"/>
        <w:ind w:firstLine="720"/>
        <w:jc w:val="both"/>
        <w:rPr>
          <w:rFonts w:cs="Times New Roman"/>
          <w:sz w:val="30"/>
          <w:szCs w:val="30"/>
        </w:rPr>
      </w:pPr>
      <w:r w:rsidRPr="006315CB">
        <w:rPr>
          <w:rFonts w:cs="Times New Roman"/>
          <w:color w:val="000000"/>
          <w:sz w:val="30"/>
          <w:szCs w:val="30"/>
        </w:rPr>
        <w:t xml:space="preserve">5. Chỉ đạo tập trung xây dựng, trình Ban Bí thư ban hành quy chế phối hợp giữa Ban Nội chính Trung ương với Đảng ủy Công an Trung ương, Ban </w:t>
      </w:r>
      <w:r w:rsidRPr="006315CB">
        <w:rPr>
          <w:rFonts w:cs="Times New Roman"/>
          <w:sz w:val="30"/>
          <w:szCs w:val="30"/>
        </w:rPr>
        <w:t>c</w:t>
      </w:r>
      <w:r w:rsidRPr="006315CB">
        <w:rPr>
          <w:rFonts w:cs="Times New Roman"/>
          <w:color w:val="000000"/>
          <w:sz w:val="30"/>
          <w:szCs w:val="30"/>
        </w:rPr>
        <w:t xml:space="preserve">án sự đảng Viện Kiểm sát nhân dân tối cao, Ban cán sự đảng Tòa án nhân dân tối cao, Ủy ban Kiểm tra Trung ương trong </w:t>
      </w:r>
      <w:r w:rsidRPr="006315CB">
        <w:rPr>
          <w:rFonts w:cs="Times New Roman"/>
          <w:sz w:val="30"/>
          <w:szCs w:val="30"/>
        </w:rPr>
        <w:t>xử lý các vụ việc, vụ án tham nhũng, án kinh tế có dấu hiệu tham nhũng</w:t>
      </w:r>
      <w:r w:rsidRPr="006315CB">
        <w:rPr>
          <w:rFonts w:cs="Times New Roman"/>
          <w:i/>
          <w:sz w:val="30"/>
          <w:szCs w:val="30"/>
        </w:rPr>
        <w:t>.</w:t>
      </w:r>
    </w:p>
    <w:p w:rsidR="00DC2222" w:rsidRPr="00B25761" w:rsidRDefault="00DC2222" w:rsidP="006315CB">
      <w:pPr>
        <w:widowControl w:val="0"/>
        <w:spacing w:before="120" w:after="0" w:line="240" w:lineRule="auto"/>
        <w:ind w:firstLine="720"/>
        <w:jc w:val="both"/>
        <w:rPr>
          <w:rFonts w:cs="Times New Roman"/>
          <w:spacing w:val="-2"/>
          <w:sz w:val="30"/>
          <w:szCs w:val="30"/>
        </w:rPr>
      </w:pPr>
      <w:r w:rsidRPr="00B25761">
        <w:rPr>
          <w:rFonts w:cs="Times New Roman"/>
          <w:spacing w:val="-2"/>
          <w:sz w:val="30"/>
          <w:szCs w:val="30"/>
        </w:rPr>
        <w:t xml:space="preserve">6. Chỉ đạo các tỉnh ủy, thành ủy trực thuộc Trung ương khẩn trương thành lập, củng cố về tổ chức và hoạt động của Ban Nội chính các tỉnh, thành ủy để tham mưu cho cấp ủy địa phương lãnh đạo, chỉ đạo công tác PCTN. </w:t>
      </w:r>
    </w:p>
    <w:p w:rsidR="00DC2222" w:rsidRPr="006315CB" w:rsidRDefault="00DC2222" w:rsidP="006315CB">
      <w:pPr>
        <w:autoSpaceDE w:val="0"/>
        <w:autoSpaceDN w:val="0"/>
        <w:adjustRightInd w:val="0"/>
        <w:spacing w:before="120" w:after="0" w:line="240" w:lineRule="auto"/>
        <w:ind w:firstLine="720"/>
        <w:jc w:val="both"/>
        <w:rPr>
          <w:rFonts w:cs="Times New Roman"/>
          <w:iCs/>
          <w:sz w:val="30"/>
          <w:szCs w:val="30"/>
        </w:rPr>
      </w:pPr>
      <w:r w:rsidRPr="006315CB">
        <w:rPr>
          <w:rFonts w:cs="Times New Roman"/>
          <w:sz w:val="30"/>
          <w:szCs w:val="30"/>
        </w:rPr>
        <w:t xml:space="preserve">7. Các Thành viên Ban Chỉ đạo có kế hoạch tăng cường chỉ đạo, kiểm tra, đôn đốc công tác PCTN của </w:t>
      </w:r>
      <w:r w:rsidRPr="006315CB">
        <w:rPr>
          <w:rFonts w:eastAsia="Arial" w:cs="Times New Roman"/>
          <w:iCs/>
          <w:sz w:val="30"/>
          <w:szCs w:val="30"/>
        </w:rPr>
        <w:t>các cấp ủy, tổ chức đảng, cơ quan, tổ chức</w:t>
      </w:r>
      <w:r w:rsidRPr="006315CB">
        <w:rPr>
          <w:rFonts w:cs="Times New Roman"/>
          <w:iCs/>
          <w:sz w:val="30"/>
          <w:szCs w:val="30"/>
        </w:rPr>
        <w:t>, đơn vị theo lĩnh vực, địa bàn đượ</w:t>
      </w:r>
      <w:r w:rsidR="00D255C5" w:rsidRPr="006315CB">
        <w:rPr>
          <w:rFonts w:cs="Times New Roman"/>
          <w:iCs/>
          <w:sz w:val="30"/>
          <w:szCs w:val="30"/>
        </w:rPr>
        <w:t>c phân công; tập trung vào một số lĩnh vực dễ phát sinh tham nhũng như: tài chính, ngân hàng, xây dựng cơ bản, quản lý đất đai, tài nguyên khoáng sản.</w:t>
      </w:r>
    </w:p>
    <w:p w:rsidR="00DC2222" w:rsidRPr="006315CB" w:rsidRDefault="00DC2222" w:rsidP="006315CB">
      <w:pPr>
        <w:autoSpaceDE w:val="0"/>
        <w:autoSpaceDN w:val="0"/>
        <w:adjustRightInd w:val="0"/>
        <w:spacing w:before="120" w:after="0" w:line="240" w:lineRule="auto"/>
        <w:ind w:firstLine="720"/>
        <w:jc w:val="both"/>
        <w:rPr>
          <w:rFonts w:cs="Times New Roman"/>
          <w:iCs/>
          <w:sz w:val="30"/>
          <w:szCs w:val="30"/>
        </w:rPr>
      </w:pPr>
      <w:r w:rsidRPr="006315CB">
        <w:rPr>
          <w:rFonts w:cs="Times New Roman"/>
          <w:iCs/>
          <w:sz w:val="30"/>
          <w:szCs w:val="30"/>
        </w:rPr>
        <w:t>8. Chỉ đạo chuẩn bị tổ chức Hội nghị đánh giá kết quả một năm triển khai thực hiện các quy định mới của Đảng, Nhà nước về PCTN.</w:t>
      </w:r>
    </w:p>
    <w:p w:rsidR="00DC2222" w:rsidRPr="008C2A20" w:rsidRDefault="00DC2222" w:rsidP="005973AA">
      <w:pPr>
        <w:autoSpaceDE w:val="0"/>
        <w:autoSpaceDN w:val="0"/>
        <w:adjustRightInd w:val="0"/>
        <w:spacing w:before="160" w:after="0" w:line="240" w:lineRule="auto"/>
        <w:ind w:firstLine="720"/>
        <w:jc w:val="both"/>
        <w:rPr>
          <w:rFonts w:cs="Times New Roman"/>
          <w:iCs/>
          <w:sz w:val="14"/>
          <w:szCs w:val="30"/>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745"/>
      </w:tblGrid>
      <w:tr w:rsidR="00DC2222" w:rsidRPr="005047E0" w:rsidTr="00A516E5">
        <w:tc>
          <w:tcPr>
            <w:tcW w:w="4508" w:type="dxa"/>
          </w:tcPr>
          <w:p w:rsidR="00DC2222" w:rsidRPr="005047E0" w:rsidRDefault="00DC2222" w:rsidP="005973AA">
            <w:pPr>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rPr>
                <w:b/>
                <w:szCs w:val="28"/>
              </w:rPr>
            </w:pPr>
            <w:r w:rsidRPr="005047E0">
              <w:rPr>
                <w:szCs w:val="28"/>
                <w:u w:val="single"/>
              </w:rPr>
              <w:t>Nơi nhận</w:t>
            </w:r>
            <w:r w:rsidRPr="005047E0">
              <w:rPr>
                <w:szCs w:val="28"/>
              </w:rPr>
              <w:t xml:space="preserve">:   </w:t>
            </w:r>
            <w:r w:rsidRPr="005047E0">
              <w:rPr>
                <w:b/>
                <w:szCs w:val="28"/>
              </w:rPr>
              <w:t xml:space="preserve">                                                           </w:t>
            </w:r>
          </w:p>
          <w:p w:rsidR="00DC2222" w:rsidRPr="00A234CF" w:rsidRDefault="00DC2222" w:rsidP="005973AA">
            <w:pPr>
              <w:tabs>
                <w:tab w:val="left" w:pos="720"/>
                <w:tab w:val="left" w:pos="1440"/>
                <w:tab w:val="left" w:pos="2160"/>
                <w:tab w:val="left" w:pos="2880"/>
                <w:tab w:val="left" w:pos="3600"/>
                <w:tab w:val="left" w:pos="4773"/>
                <w:tab w:val="left" w:pos="5760"/>
                <w:tab w:val="left" w:pos="6480"/>
                <w:tab w:val="left" w:pos="7200"/>
                <w:tab w:val="left" w:pos="7920"/>
                <w:tab w:val="left" w:pos="8640"/>
              </w:tabs>
              <w:autoSpaceDE w:val="0"/>
              <w:autoSpaceDN w:val="0"/>
              <w:adjustRightInd w:val="0"/>
              <w:ind w:left="79"/>
              <w:rPr>
                <w:sz w:val="22"/>
              </w:rPr>
            </w:pPr>
            <w:r w:rsidRPr="00A234CF">
              <w:rPr>
                <w:sz w:val="22"/>
              </w:rPr>
              <w:t>- Bộ Chính trị (để b/c),</w:t>
            </w:r>
          </w:p>
          <w:p w:rsidR="00DC2222" w:rsidRPr="00A234CF" w:rsidRDefault="00DC2222" w:rsidP="005973AA">
            <w:pPr>
              <w:tabs>
                <w:tab w:val="left" w:pos="720"/>
                <w:tab w:val="left" w:pos="1440"/>
                <w:tab w:val="left" w:pos="2160"/>
                <w:tab w:val="left" w:pos="2880"/>
                <w:tab w:val="left" w:pos="3600"/>
                <w:tab w:val="left" w:pos="4773"/>
                <w:tab w:val="left" w:pos="5760"/>
                <w:tab w:val="left" w:pos="6480"/>
                <w:tab w:val="left" w:pos="7200"/>
                <w:tab w:val="left" w:pos="7920"/>
                <w:tab w:val="left" w:pos="8640"/>
              </w:tabs>
              <w:autoSpaceDE w:val="0"/>
              <w:autoSpaceDN w:val="0"/>
              <w:adjustRightInd w:val="0"/>
              <w:ind w:left="81"/>
              <w:rPr>
                <w:sz w:val="22"/>
              </w:rPr>
            </w:pPr>
            <w:r w:rsidRPr="00A234CF">
              <w:rPr>
                <w:sz w:val="22"/>
              </w:rPr>
              <w:t>- Ban Bí thư</w:t>
            </w:r>
            <w:r w:rsidRPr="00A234CF">
              <w:rPr>
                <w:sz w:val="22"/>
                <w:lang w:val="en-US"/>
              </w:rPr>
              <w:t xml:space="preserve"> (để b/c),</w:t>
            </w:r>
            <w:r w:rsidRPr="00A234CF">
              <w:rPr>
                <w:sz w:val="22"/>
              </w:rPr>
              <w:t xml:space="preserve">                                                                          </w:t>
            </w:r>
          </w:p>
          <w:p w:rsidR="005145C8" w:rsidRDefault="00DC2222" w:rsidP="005973AA">
            <w:pPr>
              <w:tabs>
                <w:tab w:val="left" w:pos="720"/>
                <w:tab w:val="left" w:pos="1440"/>
                <w:tab w:val="left" w:pos="2160"/>
                <w:tab w:val="left" w:pos="2880"/>
                <w:tab w:val="left" w:pos="3600"/>
                <w:tab w:val="left" w:pos="4320"/>
                <w:tab w:val="left" w:pos="4773"/>
                <w:tab w:val="left" w:pos="5760"/>
                <w:tab w:val="left" w:pos="6480"/>
                <w:tab w:val="left" w:pos="7200"/>
                <w:tab w:val="left" w:pos="7920"/>
                <w:tab w:val="left" w:pos="8640"/>
              </w:tabs>
              <w:autoSpaceDE w:val="0"/>
              <w:autoSpaceDN w:val="0"/>
              <w:adjustRightInd w:val="0"/>
              <w:ind w:left="81"/>
              <w:jc w:val="both"/>
              <w:rPr>
                <w:sz w:val="22"/>
                <w:lang w:val="en-US"/>
              </w:rPr>
            </w:pPr>
            <w:r w:rsidRPr="00A234CF">
              <w:rPr>
                <w:sz w:val="22"/>
              </w:rPr>
              <w:t xml:space="preserve">- Các ban của Đảng, ban cán sự đảng, </w:t>
            </w:r>
          </w:p>
          <w:p w:rsidR="00DC2222" w:rsidRPr="00A234CF" w:rsidRDefault="005145C8" w:rsidP="005973AA">
            <w:pPr>
              <w:tabs>
                <w:tab w:val="left" w:pos="720"/>
                <w:tab w:val="left" w:pos="1440"/>
                <w:tab w:val="left" w:pos="2160"/>
                <w:tab w:val="left" w:pos="2880"/>
                <w:tab w:val="left" w:pos="3600"/>
                <w:tab w:val="left" w:pos="4320"/>
                <w:tab w:val="left" w:pos="4773"/>
                <w:tab w:val="left" w:pos="5760"/>
                <w:tab w:val="left" w:pos="6480"/>
                <w:tab w:val="left" w:pos="7200"/>
                <w:tab w:val="left" w:pos="7920"/>
                <w:tab w:val="left" w:pos="8640"/>
              </w:tabs>
              <w:autoSpaceDE w:val="0"/>
              <w:autoSpaceDN w:val="0"/>
              <w:adjustRightInd w:val="0"/>
              <w:ind w:left="81"/>
              <w:jc w:val="both"/>
              <w:rPr>
                <w:sz w:val="22"/>
              </w:rPr>
            </w:pPr>
            <w:r>
              <w:rPr>
                <w:sz w:val="22"/>
                <w:lang w:val="en-US"/>
              </w:rPr>
              <w:t xml:space="preserve">  </w:t>
            </w:r>
            <w:r w:rsidR="00DC2222" w:rsidRPr="00A234CF">
              <w:rPr>
                <w:sz w:val="22"/>
              </w:rPr>
              <w:t>đảng đoàn, đảng ủy trực thuộc Trung ương,</w:t>
            </w:r>
          </w:p>
          <w:p w:rsidR="00DC2222" w:rsidRPr="00A234CF" w:rsidRDefault="00DC2222" w:rsidP="005973AA">
            <w:pPr>
              <w:tabs>
                <w:tab w:val="left" w:pos="720"/>
                <w:tab w:val="left" w:pos="1440"/>
                <w:tab w:val="left" w:pos="2160"/>
                <w:tab w:val="left" w:pos="2880"/>
                <w:tab w:val="left" w:pos="3600"/>
                <w:tab w:val="left" w:pos="4320"/>
                <w:tab w:val="left" w:pos="4773"/>
                <w:tab w:val="left" w:pos="5760"/>
                <w:tab w:val="left" w:pos="6480"/>
                <w:tab w:val="left" w:pos="7200"/>
                <w:tab w:val="left" w:pos="7920"/>
                <w:tab w:val="left" w:pos="8640"/>
              </w:tabs>
              <w:autoSpaceDE w:val="0"/>
              <w:autoSpaceDN w:val="0"/>
              <w:adjustRightInd w:val="0"/>
              <w:ind w:left="81"/>
              <w:rPr>
                <w:sz w:val="22"/>
              </w:rPr>
            </w:pPr>
            <w:r w:rsidRPr="00A234CF">
              <w:rPr>
                <w:sz w:val="22"/>
              </w:rPr>
              <w:t>- Các tỉnh, thành ủy trực thuộc Trung ương,</w:t>
            </w:r>
          </w:p>
          <w:p w:rsidR="00DC2222" w:rsidRPr="0087749A" w:rsidRDefault="00DC2222" w:rsidP="005973AA">
            <w:pPr>
              <w:tabs>
                <w:tab w:val="left" w:pos="720"/>
                <w:tab w:val="left" w:pos="1440"/>
                <w:tab w:val="left" w:pos="2160"/>
                <w:tab w:val="left" w:pos="2880"/>
                <w:tab w:val="left" w:pos="3600"/>
                <w:tab w:val="left" w:pos="4320"/>
                <w:tab w:val="left" w:pos="4773"/>
                <w:tab w:val="left" w:pos="5760"/>
                <w:tab w:val="left" w:pos="6480"/>
                <w:tab w:val="left" w:pos="7200"/>
                <w:tab w:val="left" w:pos="7920"/>
                <w:tab w:val="left" w:pos="8640"/>
              </w:tabs>
              <w:autoSpaceDE w:val="0"/>
              <w:autoSpaceDN w:val="0"/>
              <w:adjustRightInd w:val="0"/>
              <w:ind w:left="81"/>
              <w:rPr>
                <w:sz w:val="22"/>
              </w:rPr>
            </w:pPr>
            <w:r w:rsidRPr="00A234CF">
              <w:rPr>
                <w:sz w:val="22"/>
              </w:rPr>
              <w:t xml:space="preserve">- </w:t>
            </w:r>
            <w:r w:rsidR="001A32E5" w:rsidRPr="0087749A">
              <w:rPr>
                <w:sz w:val="22"/>
              </w:rPr>
              <w:t xml:space="preserve">Các </w:t>
            </w:r>
            <w:r w:rsidRPr="00A234CF">
              <w:rPr>
                <w:sz w:val="22"/>
              </w:rPr>
              <w:t>V</w:t>
            </w:r>
            <w:r w:rsidR="00DF7835" w:rsidRPr="00DF7835">
              <w:rPr>
                <w:sz w:val="22"/>
              </w:rPr>
              <w:t>ă</w:t>
            </w:r>
            <w:r w:rsidR="00DF7835" w:rsidRPr="0087749A">
              <w:rPr>
                <w:sz w:val="22"/>
              </w:rPr>
              <w:t>n phòng</w:t>
            </w:r>
            <w:r w:rsidR="001A32E5" w:rsidRPr="0087749A">
              <w:rPr>
                <w:sz w:val="22"/>
              </w:rPr>
              <w:t>:</w:t>
            </w:r>
            <w:r w:rsidRPr="00A234CF">
              <w:rPr>
                <w:sz w:val="22"/>
              </w:rPr>
              <w:t xml:space="preserve"> T</w:t>
            </w:r>
            <w:r w:rsidR="001A32E5" w:rsidRPr="001A32E5">
              <w:rPr>
                <w:sz w:val="22"/>
              </w:rPr>
              <w:t>W</w:t>
            </w:r>
            <w:r w:rsidRPr="00A234CF">
              <w:rPr>
                <w:sz w:val="22"/>
              </w:rPr>
              <w:t xml:space="preserve"> Đảng,</w:t>
            </w:r>
            <w:r w:rsidR="001A32E5" w:rsidRPr="0087749A">
              <w:rPr>
                <w:sz w:val="22"/>
              </w:rPr>
              <w:t xml:space="preserve"> QH, CTN, CP,</w:t>
            </w:r>
          </w:p>
          <w:p w:rsidR="00DC2222" w:rsidRPr="00A234CF" w:rsidRDefault="00DC2222" w:rsidP="005973AA">
            <w:pPr>
              <w:tabs>
                <w:tab w:val="left" w:pos="720"/>
                <w:tab w:val="left" w:pos="1440"/>
                <w:tab w:val="left" w:pos="2160"/>
                <w:tab w:val="left" w:pos="2880"/>
                <w:tab w:val="left" w:pos="3600"/>
                <w:tab w:val="left" w:pos="4320"/>
                <w:tab w:val="left" w:pos="4773"/>
                <w:tab w:val="left" w:pos="5760"/>
                <w:tab w:val="left" w:pos="6480"/>
                <w:tab w:val="left" w:pos="7200"/>
                <w:tab w:val="left" w:pos="7920"/>
                <w:tab w:val="left" w:pos="8640"/>
              </w:tabs>
              <w:autoSpaceDE w:val="0"/>
              <w:autoSpaceDN w:val="0"/>
              <w:adjustRightInd w:val="0"/>
              <w:ind w:left="81"/>
              <w:rPr>
                <w:sz w:val="22"/>
              </w:rPr>
            </w:pPr>
            <w:r w:rsidRPr="00A234CF">
              <w:rPr>
                <w:sz w:val="22"/>
              </w:rPr>
              <w:t>- Văn phòng Tổng Bí thư,</w:t>
            </w:r>
          </w:p>
          <w:p w:rsidR="00DC2222" w:rsidRPr="00A234CF" w:rsidRDefault="00DC2222" w:rsidP="005973AA">
            <w:pPr>
              <w:tabs>
                <w:tab w:val="left" w:pos="4773"/>
              </w:tabs>
              <w:ind w:left="79"/>
              <w:rPr>
                <w:sz w:val="22"/>
              </w:rPr>
            </w:pPr>
            <w:r w:rsidRPr="00A234CF">
              <w:rPr>
                <w:sz w:val="22"/>
              </w:rPr>
              <w:t>- Các Thành viên Ban Chỉ đạo TW về PCTN,</w:t>
            </w:r>
          </w:p>
          <w:p w:rsidR="00DC2222" w:rsidRPr="0087749A" w:rsidRDefault="00DC2222" w:rsidP="005973AA">
            <w:pPr>
              <w:tabs>
                <w:tab w:val="left" w:pos="4773"/>
              </w:tabs>
              <w:ind w:left="79"/>
              <w:rPr>
                <w:spacing w:val="-2"/>
                <w:sz w:val="22"/>
              </w:rPr>
            </w:pPr>
            <w:r w:rsidRPr="00DA2125">
              <w:rPr>
                <w:spacing w:val="-2"/>
                <w:sz w:val="22"/>
              </w:rPr>
              <w:t xml:space="preserve">- Các đơn vị chuyên trách </w:t>
            </w:r>
            <w:r w:rsidR="00DA2125" w:rsidRPr="0087749A">
              <w:rPr>
                <w:spacing w:val="-2"/>
                <w:sz w:val="22"/>
              </w:rPr>
              <w:t xml:space="preserve">về </w:t>
            </w:r>
            <w:r w:rsidRPr="00DA2125">
              <w:rPr>
                <w:spacing w:val="-2"/>
                <w:sz w:val="22"/>
              </w:rPr>
              <w:t xml:space="preserve">chống tham </w:t>
            </w:r>
            <w:r w:rsidR="001A32E5" w:rsidRPr="0087749A">
              <w:rPr>
                <w:spacing w:val="-2"/>
                <w:sz w:val="22"/>
              </w:rPr>
              <w:t>n</w:t>
            </w:r>
            <w:r w:rsidRPr="00DA2125">
              <w:rPr>
                <w:spacing w:val="-2"/>
                <w:sz w:val="22"/>
              </w:rPr>
              <w:t>hũng,</w:t>
            </w:r>
          </w:p>
          <w:p w:rsidR="001A32E5" w:rsidRPr="0087749A" w:rsidRDefault="001A32E5" w:rsidP="005973AA">
            <w:pPr>
              <w:tabs>
                <w:tab w:val="left" w:pos="4773"/>
              </w:tabs>
              <w:ind w:left="79"/>
              <w:rPr>
                <w:sz w:val="22"/>
              </w:rPr>
            </w:pPr>
            <w:r w:rsidRPr="0087749A">
              <w:rPr>
                <w:sz w:val="22"/>
              </w:rPr>
              <w:t>- Ban Nội chính các tỉnh, thành ủy,</w:t>
            </w:r>
          </w:p>
          <w:p w:rsidR="00DC2222" w:rsidRPr="00A234CF" w:rsidRDefault="00DC2222" w:rsidP="005973AA">
            <w:pPr>
              <w:tabs>
                <w:tab w:val="left" w:pos="4773"/>
              </w:tabs>
              <w:ind w:left="81"/>
              <w:rPr>
                <w:sz w:val="22"/>
              </w:rPr>
            </w:pPr>
            <w:r>
              <w:rPr>
                <w:sz w:val="22"/>
              </w:rPr>
              <w:t>- BNCTW:</w:t>
            </w:r>
            <w:r w:rsidRPr="002A1362">
              <w:rPr>
                <w:sz w:val="22"/>
              </w:rPr>
              <w:t xml:space="preserve"> TB, các PTB</w:t>
            </w:r>
            <w:r w:rsidR="00DF7835" w:rsidRPr="0087749A">
              <w:rPr>
                <w:sz w:val="22"/>
              </w:rPr>
              <w:t>;</w:t>
            </w:r>
            <w:r w:rsidR="00C57362" w:rsidRPr="00C41C14">
              <w:rPr>
                <w:sz w:val="22"/>
              </w:rPr>
              <w:t xml:space="preserve"> c</w:t>
            </w:r>
            <w:r w:rsidRPr="00A234CF">
              <w:rPr>
                <w:sz w:val="22"/>
              </w:rPr>
              <w:t xml:space="preserve">ác </w:t>
            </w:r>
            <w:r w:rsidRPr="00073FD3">
              <w:rPr>
                <w:sz w:val="22"/>
              </w:rPr>
              <w:t>Vụ, VP, TC</w:t>
            </w:r>
            <w:r w:rsidRPr="00A234CF">
              <w:rPr>
                <w:sz w:val="22"/>
              </w:rPr>
              <w:t>,</w:t>
            </w:r>
          </w:p>
          <w:p w:rsidR="00DC2222" w:rsidRPr="005047E0" w:rsidRDefault="00DC2222" w:rsidP="005973AA">
            <w:pPr>
              <w:rPr>
                <w:rFonts w:cs="Times New Roman"/>
                <w:spacing w:val="-4"/>
                <w:szCs w:val="28"/>
              </w:rPr>
            </w:pPr>
            <w:r w:rsidRPr="00A234CF">
              <w:rPr>
                <w:sz w:val="22"/>
              </w:rPr>
              <w:t xml:space="preserve">  - Lưu</w:t>
            </w:r>
            <w:r w:rsidRPr="002A1362">
              <w:rPr>
                <w:sz w:val="22"/>
              </w:rPr>
              <w:t xml:space="preserve"> </w:t>
            </w:r>
            <w:r w:rsidRPr="00A234CF">
              <w:rPr>
                <w:sz w:val="22"/>
              </w:rPr>
              <w:t xml:space="preserve">VT, Vụ </w:t>
            </w:r>
            <w:r w:rsidRPr="002A1362">
              <w:rPr>
                <w:sz w:val="22"/>
              </w:rPr>
              <w:t>3</w:t>
            </w:r>
            <w:r w:rsidRPr="00A234CF">
              <w:rPr>
                <w:sz w:val="22"/>
              </w:rPr>
              <w:t xml:space="preserve"> (2)</w:t>
            </w:r>
            <w:r w:rsidR="0097292E">
              <w:rPr>
                <w:sz w:val="22"/>
                <w:lang w:val="en-US"/>
              </w:rPr>
              <w:t xml:space="preserve">, </w:t>
            </w:r>
            <w:r w:rsidR="0097292E" w:rsidRPr="0097292E">
              <w:rPr>
                <w:sz w:val="20"/>
                <w:szCs w:val="20"/>
                <w:lang w:val="en-US"/>
              </w:rPr>
              <w:t>PHN</w:t>
            </w:r>
            <w:r w:rsidRPr="00A234CF">
              <w:rPr>
                <w:sz w:val="22"/>
              </w:rPr>
              <w:t>.</w:t>
            </w:r>
          </w:p>
        </w:tc>
        <w:tc>
          <w:tcPr>
            <w:tcW w:w="4745" w:type="dxa"/>
          </w:tcPr>
          <w:p w:rsidR="00DC2222" w:rsidRPr="00A234CF" w:rsidRDefault="00DC2222" w:rsidP="00C41C14">
            <w:pPr>
              <w:ind w:left="-39" w:right="-164"/>
              <w:jc w:val="center"/>
              <w:rPr>
                <w:b/>
                <w:szCs w:val="28"/>
                <w:lang w:val="en-US"/>
              </w:rPr>
            </w:pPr>
            <w:r w:rsidRPr="00A234CF">
              <w:rPr>
                <w:b/>
                <w:szCs w:val="28"/>
              </w:rPr>
              <w:t>K/T TRƯỞNG BAN</w:t>
            </w:r>
          </w:p>
          <w:p w:rsidR="00DC2222" w:rsidRPr="005047E0" w:rsidRDefault="00DC2222" w:rsidP="00C41C14">
            <w:pPr>
              <w:ind w:left="-108" w:right="-164"/>
              <w:jc w:val="center"/>
              <w:rPr>
                <w:szCs w:val="28"/>
              </w:rPr>
            </w:pPr>
            <w:r w:rsidRPr="005047E0">
              <w:rPr>
                <w:szCs w:val="28"/>
              </w:rPr>
              <w:t>PHÓ TRƯỞNG BAN THƯỜNG TRỰC</w:t>
            </w:r>
          </w:p>
          <w:p w:rsidR="00DC2222" w:rsidRPr="005047E0" w:rsidRDefault="00DC2222" w:rsidP="00C41C14">
            <w:pPr>
              <w:jc w:val="center"/>
              <w:rPr>
                <w:szCs w:val="28"/>
              </w:rPr>
            </w:pPr>
          </w:p>
          <w:p w:rsidR="00DC2222" w:rsidRPr="005047E0" w:rsidRDefault="00DC2222" w:rsidP="00C41C14">
            <w:pPr>
              <w:jc w:val="center"/>
              <w:rPr>
                <w:szCs w:val="28"/>
              </w:rPr>
            </w:pPr>
          </w:p>
          <w:p w:rsidR="00DC2222" w:rsidRPr="005047E0" w:rsidRDefault="00DC2222" w:rsidP="00C41C14">
            <w:pPr>
              <w:jc w:val="center"/>
              <w:rPr>
                <w:szCs w:val="28"/>
              </w:rPr>
            </w:pPr>
          </w:p>
          <w:p w:rsidR="00DC2222" w:rsidRPr="005047E0" w:rsidRDefault="00DC2222" w:rsidP="00C41C14">
            <w:pPr>
              <w:jc w:val="center"/>
              <w:rPr>
                <w:szCs w:val="28"/>
              </w:rPr>
            </w:pPr>
          </w:p>
          <w:p w:rsidR="00DC2222" w:rsidRPr="005047E0" w:rsidRDefault="00DC2222" w:rsidP="00C41C14">
            <w:pPr>
              <w:jc w:val="center"/>
              <w:rPr>
                <w:szCs w:val="28"/>
                <w:lang w:val="en-US"/>
              </w:rPr>
            </w:pPr>
          </w:p>
          <w:p w:rsidR="00DC2222" w:rsidRPr="005047E0" w:rsidRDefault="00DC2222" w:rsidP="00C41C14">
            <w:pPr>
              <w:jc w:val="center"/>
              <w:rPr>
                <w:szCs w:val="28"/>
                <w:lang w:val="en-US"/>
              </w:rPr>
            </w:pPr>
          </w:p>
          <w:p w:rsidR="00DC2222" w:rsidRPr="003472F2" w:rsidRDefault="00DC2222" w:rsidP="00C41C14">
            <w:pPr>
              <w:ind w:left="-191"/>
              <w:jc w:val="center"/>
              <w:rPr>
                <w:b/>
                <w:sz w:val="40"/>
                <w:szCs w:val="28"/>
              </w:rPr>
            </w:pPr>
          </w:p>
          <w:p w:rsidR="00DC2222" w:rsidRPr="00A234CF" w:rsidRDefault="00DC2222" w:rsidP="00C41C14">
            <w:pPr>
              <w:jc w:val="center"/>
              <w:rPr>
                <w:rFonts w:cs="Times New Roman"/>
                <w:spacing w:val="-4"/>
                <w:szCs w:val="28"/>
              </w:rPr>
            </w:pPr>
            <w:r w:rsidRPr="00A234CF">
              <w:rPr>
                <w:b/>
                <w:szCs w:val="28"/>
                <w:lang w:val="en-US"/>
              </w:rPr>
              <w:t>Nguyễn Bá Thanh</w:t>
            </w:r>
          </w:p>
        </w:tc>
      </w:tr>
    </w:tbl>
    <w:p w:rsidR="002D080C" w:rsidRPr="00C57362" w:rsidRDefault="002D080C" w:rsidP="00C57362">
      <w:pPr>
        <w:rPr>
          <w:lang w:val="en-US"/>
        </w:rPr>
      </w:pPr>
    </w:p>
    <w:sectPr w:rsidR="002D080C" w:rsidRPr="00C57362" w:rsidSect="00287D79">
      <w:footerReference w:type="even" r:id="rId7"/>
      <w:footerReference w:type="default" r:id="rId8"/>
      <w:pgSz w:w="11907" w:h="16840" w:code="9"/>
      <w:pgMar w:top="1247" w:right="851" w:bottom="1247" w:left="181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84" w:rsidRDefault="005D2884" w:rsidP="00DC2222">
      <w:pPr>
        <w:spacing w:after="0" w:line="240" w:lineRule="auto"/>
      </w:pPr>
      <w:r>
        <w:separator/>
      </w:r>
    </w:p>
  </w:endnote>
  <w:endnote w:type="continuationSeparator" w:id="1">
    <w:p w:rsidR="005D2884" w:rsidRDefault="005D2884" w:rsidP="00DC2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6" w:rsidRDefault="00C278D2" w:rsidP="00615D0B">
    <w:pPr>
      <w:pStyle w:val="Footer"/>
      <w:framePr w:wrap="around" w:vAnchor="text" w:hAnchor="margin" w:xAlign="center" w:y="1"/>
      <w:rPr>
        <w:rStyle w:val="PageNumber"/>
      </w:rPr>
    </w:pPr>
    <w:r>
      <w:rPr>
        <w:rStyle w:val="PageNumber"/>
      </w:rPr>
      <w:fldChar w:fldCharType="begin"/>
    </w:r>
    <w:r w:rsidR="001E7AF2">
      <w:rPr>
        <w:rStyle w:val="PageNumber"/>
      </w:rPr>
      <w:instrText xml:space="preserve">PAGE  </w:instrText>
    </w:r>
    <w:r>
      <w:rPr>
        <w:rStyle w:val="PageNumber"/>
      </w:rPr>
      <w:fldChar w:fldCharType="end"/>
    </w:r>
  </w:p>
  <w:p w:rsidR="00887A76" w:rsidRDefault="005D2884" w:rsidP="00615D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6" w:rsidRPr="000769CC" w:rsidRDefault="00C278D2" w:rsidP="00615D0B">
    <w:pPr>
      <w:pStyle w:val="Footer"/>
      <w:framePr w:wrap="around" w:vAnchor="text" w:hAnchor="margin" w:xAlign="center" w:y="1"/>
      <w:rPr>
        <w:rStyle w:val="PageNumber"/>
        <w:sz w:val="26"/>
      </w:rPr>
    </w:pPr>
    <w:r w:rsidRPr="000769CC">
      <w:rPr>
        <w:rStyle w:val="PageNumber"/>
        <w:sz w:val="26"/>
      </w:rPr>
      <w:fldChar w:fldCharType="begin"/>
    </w:r>
    <w:r w:rsidR="001E7AF2" w:rsidRPr="000769CC">
      <w:rPr>
        <w:rStyle w:val="PageNumber"/>
        <w:sz w:val="26"/>
      </w:rPr>
      <w:instrText xml:space="preserve">PAGE  </w:instrText>
    </w:r>
    <w:r w:rsidRPr="000769CC">
      <w:rPr>
        <w:rStyle w:val="PageNumber"/>
        <w:sz w:val="26"/>
      </w:rPr>
      <w:fldChar w:fldCharType="separate"/>
    </w:r>
    <w:r w:rsidR="00DA419D">
      <w:rPr>
        <w:rStyle w:val="PageNumber"/>
        <w:noProof/>
        <w:sz w:val="26"/>
      </w:rPr>
      <w:t>10</w:t>
    </w:r>
    <w:r w:rsidRPr="000769CC">
      <w:rPr>
        <w:rStyle w:val="PageNumber"/>
        <w:sz w:val="26"/>
      </w:rPr>
      <w:fldChar w:fldCharType="end"/>
    </w:r>
  </w:p>
  <w:p w:rsidR="00887A76" w:rsidRDefault="005D2884" w:rsidP="00615D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84" w:rsidRDefault="005D2884" w:rsidP="00DC2222">
      <w:pPr>
        <w:spacing w:after="0" w:line="240" w:lineRule="auto"/>
      </w:pPr>
      <w:r>
        <w:separator/>
      </w:r>
    </w:p>
  </w:footnote>
  <w:footnote w:type="continuationSeparator" w:id="1">
    <w:p w:rsidR="005D2884" w:rsidRDefault="005D2884" w:rsidP="00DC2222">
      <w:pPr>
        <w:spacing w:after="0" w:line="240" w:lineRule="auto"/>
      </w:pPr>
      <w:r>
        <w:continuationSeparator/>
      </w:r>
    </w:p>
  </w:footnote>
  <w:footnote w:id="2">
    <w:p w:rsidR="00DC2222" w:rsidRPr="006315CB" w:rsidRDefault="00DC2222" w:rsidP="00DC2222">
      <w:pPr>
        <w:pStyle w:val="FootnoteText"/>
        <w:jc w:val="both"/>
        <w:rPr>
          <w:sz w:val="22"/>
          <w:szCs w:val="22"/>
        </w:rPr>
      </w:pPr>
      <w:r w:rsidRPr="002573D8">
        <w:rPr>
          <w:sz w:val="24"/>
          <w:szCs w:val="24"/>
          <w:vertAlign w:val="superscript"/>
        </w:rPr>
        <w:t>(</w:t>
      </w:r>
      <w:r w:rsidRPr="002573D8">
        <w:rPr>
          <w:rStyle w:val="FootnoteReference"/>
          <w:sz w:val="24"/>
          <w:szCs w:val="24"/>
        </w:rPr>
        <w:footnoteRef/>
      </w:r>
      <w:r w:rsidRPr="002573D8">
        <w:rPr>
          <w:sz w:val="24"/>
          <w:szCs w:val="24"/>
          <w:vertAlign w:val="superscript"/>
        </w:rPr>
        <w:t xml:space="preserve">) </w:t>
      </w:r>
      <w:r w:rsidRPr="006315CB">
        <w:rPr>
          <w:sz w:val="22"/>
          <w:szCs w:val="22"/>
          <w:lang w:val="nl-NL"/>
        </w:rPr>
        <w:t>Bộ Công an, Bộ Kế hoạch và Đầu tư, Thông tấn xã Việt Nam, Ngân hàng Nhà nước Việt Nam, Bộ Tài chính...; các tỉnh, thành phố: Gia Lai, Điện Biên, Bình Định, Hà Nội, Cần Thơ, Lạng Sơn, Đồng Nai, Sơn La, Vĩnh Phúc...</w:t>
      </w:r>
    </w:p>
  </w:footnote>
  <w:footnote w:id="3">
    <w:p w:rsidR="00DC2222" w:rsidRPr="006315CB" w:rsidRDefault="00DC2222" w:rsidP="00DC2222">
      <w:pPr>
        <w:pStyle w:val="FootnoteText"/>
        <w:jc w:val="both"/>
        <w:rPr>
          <w:sz w:val="22"/>
          <w:szCs w:val="22"/>
          <w:lang w:val="nl-NL"/>
        </w:rPr>
      </w:pPr>
      <w:r w:rsidRPr="006315CB">
        <w:rPr>
          <w:sz w:val="22"/>
          <w:szCs w:val="22"/>
          <w:vertAlign w:val="superscript"/>
        </w:rPr>
        <w:t>(</w:t>
      </w:r>
      <w:r w:rsidRPr="006315CB">
        <w:rPr>
          <w:rStyle w:val="FootnoteReference"/>
          <w:sz w:val="22"/>
          <w:szCs w:val="22"/>
        </w:rPr>
        <w:footnoteRef/>
      </w:r>
      <w:r w:rsidRPr="006315CB">
        <w:rPr>
          <w:sz w:val="22"/>
          <w:szCs w:val="22"/>
          <w:vertAlign w:val="superscript"/>
        </w:rPr>
        <w:t>)</w:t>
      </w:r>
      <w:r w:rsidRPr="006315CB">
        <w:rPr>
          <w:sz w:val="22"/>
          <w:szCs w:val="22"/>
        </w:rPr>
        <w:t xml:space="preserve"> </w:t>
      </w:r>
      <w:r w:rsidR="00550978" w:rsidRPr="006315CB">
        <w:rPr>
          <w:sz w:val="22"/>
          <w:szCs w:val="22"/>
          <w:lang w:val="nl-NL"/>
        </w:rPr>
        <w:t>Theo báo cáo của 53</w:t>
      </w:r>
      <w:r w:rsidRPr="006315CB">
        <w:rPr>
          <w:sz w:val="22"/>
          <w:szCs w:val="22"/>
          <w:lang w:val="nl-NL"/>
        </w:rPr>
        <w:t xml:space="preserve"> cơ quan, tổ chức ở Trung ương và 4</w:t>
      </w:r>
      <w:r w:rsidR="00AE3852" w:rsidRPr="006315CB">
        <w:rPr>
          <w:sz w:val="22"/>
          <w:szCs w:val="22"/>
          <w:lang w:val="nl-NL"/>
        </w:rPr>
        <w:t>8</w:t>
      </w:r>
      <w:r w:rsidRPr="006315CB">
        <w:rPr>
          <w:sz w:val="22"/>
          <w:szCs w:val="22"/>
          <w:lang w:val="nl-NL"/>
        </w:rPr>
        <w:t xml:space="preserve"> tỉnh, thành phố trực thuộc Trung ương, trong 6 tháng đầu năm đã tổ chức được </w:t>
      </w:r>
      <w:r w:rsidR="00CD19B9" w:rsidRPr="006315CB">
        <w:rPr>
          <w:sz w:val="22"/>
          <w:szCs w:val="22"/>
          <w:lang w:val="nl-NL"/>
        </w:rPr>
        <w:t>5.685</w:t>
      </w:r>
      <w:r w:rsidRPr="006315CB">
        <w:rPr>
          <w:sz w:val="22"/>
          <w:szCs w:val="22"/>
          <w:lang w:val="nl-NL"/>
        </w:rPr>
        <w:t xml:space="preserve"> lớp, hội nghị tuyên truyền, phổ biến về PCTN, với 1.</w:t>
      </w:r>
      <w:r w:rsidR="00CD19B9" w:rsidRPr="006315CB">
        <w:rPr>
          <w:sz w:val="22"/>
          <w:szCs w:val="22"/>
          <w:lang w:val="nl-NL"/>
        </w:rPr>
        <w:t>305</w:t>
      </w:r>
      <w:r w:rsidRPr="006315CB">
        <w:rPr>
          <w:sz w:val="22"/>
          <w:szCs w:val="22"/>
          <w:lang w:val="nl-NL"/>
        </w:rPr>
        <w:t>.</w:t>
      </w:r>
      <w:r w:rsidR="00CD19B9" w:rsidRPr="006315CB">
        <w:rPr>
          <w:sz w:val="22"/>
          <w:szCs w:val="22"/>
          <w:lang w:val="nl-NL"/>
        </w:rPr>
        <w:t>9</w:t>
      </w:r>
      <w:r w:rsidRPr="006315CB">
        <w:rPr>
          <w:sz w:val="22"/>
          <w:szCs w:val="22"/>
          <w:lang w:val="nl-NL"/>
        </w:rPr>
        <w:t xml:space="preserve">95 lượt người tham gia. </w:t>
      </w:r>
    </w:p>
  </w:footnote>
  <w:footnote w:id="4">
    <w:p w:rsidR="00DC2222" w:rsidRPr="006315CB" w:rsidRDefault="00DC2222" w:rsidP="00DC2222">
      <w:pPr>
        <w:pStyle w:val="FootnoteText"/>
        <w:jc w:val="both"/>
        <w:rPr>
          <w:sz w:val="22"/>
          <w:szCs w:val="22"/>
          <w:lang w:val="nl-NL"/>
        </w:rPr>
      </w:pPr>
      <w:r w:rsidRPr="006315CB">
        <w:rPr>
          <w:sz w:val="22"/>
          <w:szCs w:val="22"/>
          <w:vertAlign w:val="superscript"/>
          <w:lang w:val="nl-NL"/>
        </w:rPr>
        <w:t>(</w:t>
      </w:r>
      <w:r w:rsidRPr="006315CB">
        <w:rPr>
          <w:rStyle w:val="FootnoteReference"/>
          <w:sz w:val="22"/>
          <w:szCs w:val="22"/>
        </w:rPr>
        <w:footnoteRef/>
      </w:r>
      <w:r w:rsidRPr="006315CB">
        <w:rPr>
          <w:sz w:val="22"/>
          <w:szCs w:val="22"/>
          <w:vertAlign w:val="superscript"/>
          <w:lang w:val="nl-NL"/>
        </w:rPr>
        <w:t>)</w:t>
      </w:r>
      <w:r w:rsidRPr="006315CB">
        <w:rPr>
          <w:sz w:val="22"/>
          <w:szCs w:val="22"/>
          <w:lang w:val="nl-NL"/>
        </w:rPr>
        <w:t xml:space="preserve"> </w:t>
      </w:r>
      <w:r w:rsidRPr="006315CB">
        <w:rPr>
          <w:rFonts w:eastAsia="Arial"/>
          <w:sz w:val="22"/>
          <w:szCs w:val="22"/>
          <w:lang w:val="nl-NL"/>
        </w:rPr>
        <w:t xml:space="preserve">Trong khoảng thời gian từ tháng 3 đến tháng 6 năm </w:t>
      </w:r>
      <w:r w:rsidRPr="006315CB">
        <w:rPr>
          <w:sz w:val="22"/>
          <w:szCs w:val="22"/>
          <w:lang w:val="nl-NL"/>
        </w:rPr>
        <w:t>2013</w:t>
      </w:r>
      <w:r w:rsidRPr="006315CB">
        <w:rPr>
          <w:rFonts w:eastAsia="Arial"/>
          <w:sz w:val="22"/>
          <w:szCs w:val="22"/>
          <w:lang w:val="nl-NL"/>
        </w:rPr>
        <w:t xml:space="preserve">, </w:t>
      </w:r>
      <w:r w:rsidRPr="006315CB">
        <w:rPr>
          <w:bCs/>
          <w:sz w:val="22"/>
          <w:szCs w:val="22"/>
          <w:lang w:val="nl-NL"/>
        </w:rPr>
        <w:t>các cơ quan thông tấn, báo chí của Trung ương và địa phương đã có gần 650</w:t>
      </w:r>
      <w:r w:rsidRPr="006315CB">
        <w:rPr>
          <w:rFonts w:eastAsia="Arial"/>
          <w:sz w:val="22"/>
          <w:szCs w:val="22"/>
          <w:lang w:val="nl-NL"/>
        </w:rPr>
        <w:t xml:space="preserve"> tin, bài phản ánh về công tác PCTN.</w:t>
      </w:r>
    </w:p>
  </w:footnote>
  <w:footnote w:id="5">
    <w:p w:rsidR="00DC2222" w:rsidRPr="00034431" w:rsidRDefault="00DC2222" w:rsidP="00DC2222">
      <w:pPr>
        <w:spacing w:after="0" w:line="240" w:lineRule="auto"/>
        <w:jc w:val="both"/>
        <w:rPr>
          <w:rFonts w:cs="Times New Roman"/>
          <w:sz w:val="22"/>
        </w:rPr>
      </w:pPr>
      <w:r w:rsidRPr="00034431">
        <w:rPr>
          <w:sz w:val="22"/>
          <w:vertAlign w:val="superscript"/>
          <w:lang w:val="nl-NL"/>
        </w:rPr>
        <w:t>(</w:t>
      </w:r>
      <w:r w:rsidRPr="00034431">
        <w:rPr>
          <w:rStyle w:val="FootnoteReference"/>
          <w:sz w:val="22"/>
        </w:rPr>
        <w:footnoteRef/>
      </w:r>
      <w:r w:rsidRPr="00034431">
        <w:rPr>
          <w:sz w:val="22"/>
          <w:vertAlign w:val="superscript"/>
          <w:lang w:val="nl-NL"/>
        </w:rPr>
        <w:t>)</w:t>
      </w:r>
      <w:r w:rsidRPr="00034431">
        <w:rPr>
          <w:sz w:val="22"/>
          <w:lang w:val="nl-NL"/>
        </w:rPr>
        <w:t xml:space="preserve"> </w:t>
      </w:r>
      <w:r w:rsidRPr="00034431">
        <w:rPr>
          <w:rFonts w:cs="Times New Roman"/>
          <w:sz w:val="22"/>
          <w:lang w:val="nl-NL"/>
        </w:rPr>
        <w:t>Theo báo cáo củ</w:t>
      </w:r>
      <w:r>
        <w:rPr>
          <w:rFonts w:cs="Times New Roman"/>
          <w:sz w:val="22"/>
          <w:lang w:val="nl-NL"/>
        </w:rPr>
        <w:t>a 5</w:t>
      </w:r>
      <w:r w:rsidR="004D632C">
        <w:rPr>
          <w:rFonts w:cs="Times New Roman"/>
          <w:sz w:val="22"/>
          <w:lang w:val="nl-NL"/>
        </w:rPr>
        <w:t>3</w:t>
      </w:r>
      <w:r w:rsidRPr="00034431">
        <w:rPr>
          <w:rFonts w:cs="Times New Roman"/>
          <w:sz w:val="22"/>
          <w:lang w:val="nl-NL"/>
        </w:rPr>
        <w:t xml:space="preserve"> cơ quan, tổ chức ở</w:t>
      </w:r>
      <w:r>
        <w:rPr>
          <w:rFonts w:cs="Times New Roman"/>
          <w:sz w:val="22"/>
          <w:lang w:val="nl-NL"/>
        </w:rPr>
        <w:t xml:space="preserve"> Trung ương và 4</w:t>
      </w:r>
      <w:r w:rsidR="00AE3852">
        <w:rPr>
          <w:rFonts w:cs="Times New Roman"/>
          <w:sz w:val="22"/>
          <w:lang w:val="nl-NL"/>
        </w:rPr>
        <w:t>8</w:t>
      </w:r>
      <w:r w:rsidRPr="00034431">
        <w:rPr>
          <w:rFonts w:cs="Times New Roman"/>
          <w:sz w:val="22"/>
          <w:lang w:val="nl-NL"/>
        </w:rPr>
        <w:t xml:space="preserve"> tỉnh, thành phố trực thuộc Trung ương, trong 6 tháng đầu năm đã tiế</w:t>
      </w:r>
      <w:r w:rsidR="00FD3C4D">
        <w:rPr>
          <w:rFonts w:cs="Times New Roman"/>
          <w:sz w:val="22"/>
          <w:lang w:val="nl-NL"/>
        </w:rPr>
        <w:t>n hành 2.584</w:t>
      </w:r>
      <w:r w:rsidRPr="00034431">
        <w:rPr>
          <w:rFonts w:cs="Times New Roman"/>
          <w:sz w:val="22"/>
          <w:lang w:val="nl-NL"/>
        </w:rPr>
        <w:t xml:space="preserve"> cuộc kiểm tra </w:t>
      </w:r>
      <w:r w:rsidRPr="00034431">
        <w:rPr>
          <w:rFonts w:cs="Times New Roman"/>
          <w:sz w:val="22"/>
        </w:rPr>
        <w:t>việc thực hiện các quy định của pháp luật về công khai, minh bạch.</w:t>
      </w:r>
    </w:p>
  </w:footnote>
  <w:footnote w:id="6">
    <w:p w:rsidR="00DC2222" w:rsidRPr="00F050AA" w:rsidRDefault="00DC2222" w:rsidP="00DC2222">
      <w:pPr>
        <w:spacing w:after="0" w:line="240" w:lineRule="auto"/>
        <w:jc w:val="both"/>
        <w:rPr>
          <w:rFonts w:cs="Times New Roman"/>
          <w:sz w:val="22"/>
          <w:lang w:val="nl-NL"/>
        </w:rPr>
      </w:pPr>
      <w:r w:rsidRPr="00034431">
        <w:rPr>
          <w:sz w:val="22"/>
          <w:vertAlign w:val="superscript"/>
        </w:rPr>
        <w:t>(</w:t>
      </w:r>
      <w:r w:rsidRPr="00034431">
        <w:rPr>
          <w:rStyle w:val="FootnoteReference"/>
          <w:sz w:val="22"/>
        </w:rPr>
        <w:footnoteRef/>
      </w:r>
      <w:r w:rsidRPr="00034431">
        <w:rPr>
          <w:sz w:val="22"/>
          <w:vertAlign w:val="superscript"/>
        </w:rPr>
        <w:t>)</w:t>
      </w:r>
      <w:r w:rsidRPr="00034431">
        <w:rPr>
          <w:sz w:val="22"/>
        </w:rPr>
        <w:t xml:space="preserve"> </w:t>
      </w:r>
      <w:r w:rsidRPr="00034431">
        <w:rPr>
          <w:rFonts w:cs="Times New Roman"/>
          <w:sz w:val="22"/>
          <w:lang w:val="nl-NL"/>
        </w:rPr>
        <w:t>Theo báo cáo củ</w:t>
      </w:r>
      <w:r w:rsidR="003B13B5">
        <w:rPr>
          <w:rFonts w:cs="Times New Roman"/>
          <w:sz w:val="22"/>
          <w:lang w:val="nl-NL"/>
        </w:rPr>
        <w:t>a 53</w:t>
      </w:r>
      <w:r w:rsidRPr="00034431">
        <w:rPr>
          <w:rFonts w:cs="Times New Roman"/>
          <w:sz w:val="22"/>
          <w:lang w:val="nl-NL"/>
        </w:rPr>
        <w:t xml:space="preserve"> cơ quan, tổ chức ở</w:t>
      </w:r>
      <w:r>
        <w:rPr>
          <w:rFonts w:cs="Times New Roman"/>
          <w:sz w:val="22"/>
          <w:lang w:val="nl-NL"/>
        </w:rPr>
        <w:t xml:space="preserve"> Trung ương và 4</w:t>
      </w:r>
      <w:r w:rsidR="00FB4A17">
        <w:rPr>
          <w:rFonts w:cs="Times New Roman"/>
          <w:sz w:val="22"/>
          <w:lang w:val="nl-NL"/>
        </w:rPr>
        <w:t>8</w:t>
      </w:r>
      <w:r w:rsidRPr="00034431">
        <w:rPr>
          <w:rFonts w:cs="Times New Roman"/>
          <w:sz w:val="22"/>
          <w:lang w:val="nl-NL"/>
        </w:rPr>
        <w:t xml:space="preserve"> tỉnh, thành phố trực thuộc Trung ương, trong 6 tháng đầu năm đã tiế</w:t>
      </w:r>
      <w:r w:rsidR="006043F8">
        <w:rPr>
          <w:rFonts w:cs="Times New Roman"/>
          <w:sz w:val="22"/>
          <w:lang w:val="nl-NL"/>
        </w:rPr>
        <w:t>n hành 2.536</w:t>
      </w:r>
      <w:r w:rsidRPr="00034431">
        <w:rPr>
          <w:rFonts w:cs="Times New Roman"/>
          <w:sz w:val="22"/>
          <w:lang w:val="nl-NL"/>
        </w:rPr>
        <w:t xml:space="preserve"> cuộc kiểm tra việc thực hiện quy tắc ứng xử, quy tắc đạo đức nghề nghiệp của cán bộ, công chức, viên chức.</w:t>
      </w:r>
    </w:p>
  </w:footnote>
  <w:footnote w:id="7">
    <w:p w:rsidR="00DC2222" w:rsidRPr="0021377F" w:rsidRDefault="00DC2222" w:rsidP="00DC2222">
      <w:pPr>
        <w:pStyle w:val="FootnoteText"/>
        <w:jc w:val="both"/>
        <w:rPr>
          <w:sz w:val="22"/>
          <w:szCs w:val="22"/>
          <w:lang w:val="vi-VN"/>
        </w:rPr>
      </w:pPr>
      <w:r w:rsidRPr="0021377F">
        <w:rPr>
          <w:sz w:val="22"/>
          <w:szCs w:val="22"/>
          <w:vertAlign w:val="superscript"/>
          <w:lang w:val="vi-VN"/>
        </w:rPr>
        <w:t>(</w:t>
      </w:r>
      <w:r w:rsidRPr="0021377F">
        <w:rPr>
          <w:rStyle w:val="FootnoteReference"/>
          <w:sz w:val="22"/>
          <w:szCs w:val="22"/>
        </w:rPr>
        <w:footnoteRef/>
      </w:r>
      <w:r w:rsidRPr="0021377F">
        <w:rPr>
          <w:sz w:val="22"/>
          <w:szCs w:val="22"/>
          <w:vertAlign w:val="superscript"/>
          <w:lang w:val="vi-VN"/>
        </w:rPr>
        <w:t>)</w:t>
      </w:r>
      <w:r w:rsidRPr="0021377F">
        <w:rPr>
          <w:sz w:val="22"/>
          <w:szCs w:val="22"/>
          <w:lang w:val="vi-VN"/>
        </w:rPr>
        <w:t xml:space="preserve"> </w:t>
      </w:r>
      <w:r>
        <w:rPr>
          <w:sz w:val="22"/>
          <w:szCs w:val="22"/>
          <w:lang w:val="nl-NL"/>
        </w:rPr>
        <w:t xml:space="preserve">Các Sở: </w:t>
      </w:r>
      <w:r w:rsidRPr="0021377F">
        <w:rPr>
          <w:sz w:val="22"/>
          <w:szCs w:val="22"/>
          <w:lang w:val="nl-NL"/>
        </w:rPr>
        <w:t>Tài chính, Tài nguyên và Môi trường, Quy hoạch - Kiến trúc, Xây dựng, Kế hoạch và Đầu tư</w:t>
      </w:r>
      <w:r>
        <w:rPr>
          <w:sz w:val="22"/>
          <w:szCs w:val="22"/>
          <w:lang w:val="nl-NL"/>
        </w:rPr>
        <w:t>.</w:t>
      </w:r>
      <w:r w:rsidRPr="0021377F">
        <w:rPr>
          <w:sz w:val="22"/>
          <w:szCs w:val="22"/>
          <w:lang w:val="nl-NL"/>
        </w:rPr>
        <w:t xml:space="preserve"> </w:t>
      </w:r>
    </w:p>
  </w:footnote>
  <w:footnote w:id="8">
    <w:p w:rsidR="00DC2222" w:rsidRPr="00852625" w:rsidRDefault="00DC2222" w:rsidP="00DC2222">
      <w:pPr>
        <w:pStyle w:val="FootnoteText"/>
        <w:jc w:val="both"/>
        <w:rPr>
          <w:sz w:val="22"/>
          <w:szCs w:val="22"/>
          <w:lang w:val="vi-VN"/>
        </w:rPr>
      </w:pPr>
      <w:r w:rsidRPr="00852625">
        <w:rPr>
          <w:sz w:val="22"/>
          <w:szCs w:val="22"/>
          <w:vertAlign w:val="superscript"/>
          <w:lang w:val="vi-VN"/>
        </w:rPr>
        <w:t>(</w:t>
      </w:r>
      <w:r w:rsidRPr="00852625">
        <w:rPr>
          <w:rStyle w:val="FootnoteReference"/>
          <w:sz w:val="22"/>
          <w:szCs w:val="22"/>
        </w:rPr>
        <w:footnoteRef/>
      </w:r>
      <w:r w:rsidRPr="00852625">
        <w:rPr>
          <w:sz w:val="22"/>
          <w:szCs w:val="22"/>
          <w:vertAlign w:val="superscript"/>
          <w:lang w:val="vi-VN"/>
        </w:rPr>
        <w:t xml:space="preserve">) </w:t>
      </w:r>
      <w:r w:rsidRPr="00852625">
        <w:rPr>
          <w:sz w:val="22"/>
          <w:szCs w:val="22"/>
          <w:lang w:val="vi-VN"/>
        </w:rPr>
        <w:t>Bộ Xây dựng, Bộ Tài nguyên và Môi trường, Bộ Y tế, Bộ Tư pháp, Ủy ban Dân tộc, Ban quản lý Lăng Chủ tịc</w:t>
      </w:r>
      <w:r w:rsidRPr="00793AD9">
        <w:rPr>
          <w:sz w:val="22"/>
          <w:szCs w:val="22"/>
          <w:lang w:val="vi-VN"/>
        </w:rPr>
        <w:t>h</w:t>
      </w:r>
      <w:r w:rsidRPr="00852625">
        <w:rPr>
          <w:sz w:val="22"/>
          <w:szCs w:val="22"/>
          <w:lang w:val="vi-VN"/>
        </w:rPr>
        <w:t xml:space="preserve"> Hồ Chí Minh; các tỉnh</w:t>
      </w:r>
      <w:r w:rsidR="001E17BE" w:rsidRPr="00DC5D2B">
        <w:rPr>
          <w:sz w:val="22"/>
          <w:szCs w:val="22"/>
          <w:lang w:val="vi-VN"/>
        </w:rPr>
        <w:t>:</w:t>
      </w:r>
      <w:r w:rsidRPr="00852625">
        <w:rPr>
          <w:sz w:val="22"/>
          <w:szCs w:val="22"/>
          <w:lang w:val="vi-VN"/>
        </w:rPr>
        <w:t xml:space="preserve"> Lai Châu, Thái Nguyên, Phú Thọ, Phú Yên, Khánh Hòa, Bà Rịa - Vũng Tàu, Vĩnh Long. </w:t>
      </w:r>
    </w:p>
  </w:footnote>
  <w:footnote w:id="9">
    <w:p w:rsidR="00DC2222" w:rsidRPr="006D6D7B" w:rsidRDefault="00DC2222" w:rsidP="00DC2222">
      <w:pPr>
        <w:pStyle w:val="FootnoteText"/>
        <w:jc w:val="both"/>
        <w:rPr>
          <w:sz w:val="22"/>
          <w:szCs w:val="22"/>
          <w:lang w:val="nl-NL"/>
        </w:rPr>
      </w:pPr>
      <w:r w:rsidRPr="006D6D7B">
        <w:rPr>
          <w:sz w:val="24"/>
          <w:szCs w:val="24"/>
          <w:vertAlign w:val="superscript"/>
          <w:lang w:val="nl-NL"/>
        </w:rPr>
        <w:t>(</w:t>
      </w:r>
      <w:r w:rsidRPr="00B86DB7">
        <w:rPr>
          <w:rStyle w:val="FootnoteReference"/>
          <w:sz w:val="24"/>
          <w:szCs w:val="24"/>
        </w:rPr>
        <w:footnoteRef/>
      </w:r>
      <w:r w:rsidRPr="006D6D7B">
        <w:rPr>
          <w:sz w:val="24"/>
          <w:szCs w:val="24"/>
          <w:vertAlign w:val="superscript"/>
          <w:lang w:val="nl-NL"/>
        </w:rPr>
        <w:t>)</w:t>
      </w:r>
      <w:r w:rsidRPr="006D6D7B">
        <w:rPr>
          <w:lang w:val="nl-NL"/>
        </w:rPr>
        <w:t xml:space="preserve"> </w:t>
      </w:r>
      <w:r w:rsidRPr="00973606">
        <w:rPr>
          <w:sz w:val="22"/>
          <w:szCs w:val="22"/>
          <w:lang w:val="pt-BR"/>
        </w:rPr>
        <w:t>Theo báo cáo của Bộ Công an, trong 6 tháng đầu năm có 13 địa phương không phát hiện, khởi tố vụ án tham nhũng nào</w:t>
      </w:r>
      <w:r>
        <w:rPr>
          <w:sz w:val="22"/>
          <w:szCs w:val="22"/>
          <w:lang w:val="pt-BR"/>
        </w:rPr>
        <w:t>, g</w:t>
      </w:r>
      <w:r w:rsidRPr="006D6D7B">
        <w:rPr>
          <w:sz w:val="22"/>
          <w:szCs w:val="22"/>
          <w:lang w:val="nl-NL"/>
        </w:rPr>
        <w:t>ồm: Cao Bằng, Lai Châu, Điện Biên, Hà Giang, Lào Cai, Bắc Kạn, Quản</w:t>
      </w:r>
      <w:r>
        <w:rPr>
          <w:sz w:val="22"/>
          <w:szCs w:val="22"/>
          <w:lang w:val="nl-NL"/>
        </w:rPr>
        <w:t>g Trị, Bà Rịa - Vũng Tàu, Tây N</w:t>
      </w:r>
      <w:r w:rsidRPr="006D6D7B">
        <w:rPr>
          <w:sz w:val="22"/>
          <w:szCs w:val="22"/>
          <w:lang w:val="nl-NL"/>
        </w:rPr>
        <w:t>inh, Sóc Trăng, Vĩnh Long, Trà Vinh, B</w:t>
      </w:r>
      <w:r>
        <w:rPr>
          <w:sz w:val="22"/>
          <w:szCs w:val="22"/>
          <w:lang w:val="nl-NL"/>
        </w:rPr>
        <w:t>ạ</w:t>
      </w:r>
      <w:r w:rsidRPr="006D6D7B">
        <w:rPr>
          <w:sz w:val="22"/>
          <w:szCs w:val="22"/>
          <w:lang w:val="nl-NL"/>
        </w:rPr>
        <w:t>c Liêu.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C2222"/>
    <w:rsid w:val="00004109"/>
    <w:rsid w:val="0003033E"/>
    <w:rsid w:val="0004508F"/>
    <w:rsid w:val="00055F7E"/>
    <w:rsid w:val="000611B0"/>
    <w:rsid w:val="000702A6"/>
    <w:rsid w:val="00071B45"/>
    <w:rsid w:val="000769CC"/>
    <w:rsid w:val="00096DFD"/>
    <w:rsid w:val="000C382C"/>
    <w:rsid w:val="000D6DF2"/>
    <w:rsid w:val="00107CF2"/>
    <w:rsid w:val="00113A90"/>
    <w:rsid w:val="00136DB1"/>
    <w:rsid w:val="00153273"/>
    <w:rsid w:val="001A32E5"/>
    <w:rsid w:val="001A7B1B"/>
    <w:rsid w:val="001C47DF"/>
    <w:rsid w:val="001D0C57"/>
    <w:rsid w:val="001D41F4"/>
    <w:rsid w:val="001E17BE"/>
    <w:rsid w:val="001E7AF2"/>
    <w:rsid w:val="002123EE"/>
    <w:rsid w:val="0021752B"/>
    <w:rsid w:val="002214A9"/>
    <w:rsid w:val="002529A6"/>
    <w:rsid w:val="00256275"/>
    <w:rsid w:val="00263536"/>
    <w:rsid w:val="00267B67"/>
    <w:rsid w:val="002B40EF"/>
    <w:rsid w:val="002C1769"/>
    <w:rsid w:val="002D080C"/>
    <w:rsid w:val="002D1060"/>
    <w:rsid w:val="002F6E32"/>
    <w:rsid w:val="003376F7"/>
    <w:rsid w:val="003472F2"/>
    <w:rsid w:val="00350326"/>
    <w:rsid w:val="003B13B5"/>
    <w:rsid w:val="003E1B4A"/>
    <w:rsid w:val="003F2488"/>
    <w:rsid w:val="00431422"/>
    <w:rsid w:val="004343F7"/>
    <w:rsid w:val="00435DD7"/>
    <w:rsid w:val="00440CFB"/>
    <w:rsid w:val="0045325C"/>
    <w:rsid w:val="00472930"/>
    <w:rsid w:val="004A5CC9"/>
    <w:rsid w:val="004D632C"/>
    <w:rsid w:val="004E2A29"/>
    <w:rsid w:val="004F77DA"/>
    <w:rsid w:val="005145C8"/>
    <w:rsid w:val="00515773"/>
    <w:rsid w:val="00541DA5"/>
    <w:rsid w:val="00550978"/>
    <w:rsid w:val="00563438"/>
    <w:rsid w:val="005722F0"/>
    <w:rsid w:val="00586FAB"/>
    <w:rsid w:val="005973AA"/>
    <w:rsid w:val="005B15F2"/>
    <w:rsid w:val="005B3F31"/>
    <w:rsid w:val="005C1529"/>
    <w:rsid w:val="005D230B"/>
    <w:rsid w:val="005D2884"/>
    <w:rsid w:val="006043F8"/>
    <w:rsid w:val="00610681"/>
    <w:rsid w:val="00610BF6"/>
    <w:rsid w:val="006150EF"/>
    <w:rsid w:val="006315CB"/>
    <w:rsid w:val="006435E4"/>
    <w:rsid w:val="0066263E"/>
    <w:rsid w:val="00664976"/>
    <w:rsid w:val="006773A1"/>
    <w:rsid w:val="00677CEF"/>
    <w:rsid w:val="006A29E8"/>
    <w:rsid w:val="006C0D53"/>
    <w:rsid w:val="006C728E"/>
    <w:rsid w:val="006D5D26"/>
    <w:rsid w:val="006E38F8"/>
    <w:rsid w:val="006F5090"/>
    <w:rsid w:val="00716FE4"/>
    <w:rsid w:val="0073216D"/>
    <w:rsid w:val="007336A6"/>
    <w:rsid w:val="00733977"/>
    <w:rsid w:val="00752856"/>
    <w:rsid w:val="00773AA3"/>
    <w:rsid w:val="00781225"/>
    <w:rsid w:val="007A3CEF"/>
    <w:rsid w:val="007F4233"/>
    <w:rsid w:val="00813156"/>
    <w:rsid w:val="00823D3E"/>
    <w:rsid w:val="00836F0B"/>
    <w:rsid w:val="00846070"/>
    <w:rsid w:val="0087597E"/>
    <w:rsid w:val="0087749A"/>
    <w:rsid w:val="00881C9D"/>
    <w:rsid w:val="00883744"/>
    <w:rsid w:val="00891145"/>
    <w:rsid w:val="0089295C"/>
    <w:rsid w:val="008A0AE0"/>
    <w:rsid w:val="008B68D6"/>
    <w:rsid w:val="008C2A20"/>
    <w:rsid w:val="008C52EA"/>
    <w:rsid w:val="008F1AFF"/>
    <w:rsid w:val="008F38E2"/>
    <w:rsid w:val="009001A5"/>
    <w:rsid w:val="00914D77"/>
    <w:rsid w:val="00922E00"/>
    <w:rsid w:val="0093369E"/>
    <w:rsid w:val="00954989"/>
    <w:rsid w:val="0097292E"/>
    <w:rsid w:val="00976756"/>
    <w:rsid w:val="00991661"/>
    <w:rsid w:val="009A2850"/>
    <w:rsid w:val="009D1640"/>
    <w:rsid w:val="009E1E13"/>
    <w:rsid w:val="009E260F"/>
    <w:rsid w:val="00A0647C"/>
    <w:rsid w:val="00A0795D"/>
    <w:rsid w:val="00A445C8"/>
    <w:rsid w:val="00A516E5"/>
    <w:rsid w:val="00A57808"/>
    <w:rsid w:val="00A6357F"/>
    <w:rsid w:val="00A81D4C"/>
    <w:rsid w:val="00A9143C"/>
    <w:rsid w:val="00AA50F5"/>
    <w:rsid w:val="00AC08B2"/>
    <w:rsid w:val="00AC75B0"/>
    <w:rsid w:val="00AE3852"/>
    <w:rsid w:val="00AF0F7D"/>
    <w:rsid w:val="00B06102"/>
    <w:rsid w:val="00B1787C"/>
    <w:rsid w:val="00B25761"/>
    <w:rsid w:val="00B3043C"/>
    <w:rsid w:val="00BB59CF"/>
    <w:rsid w:val="00BC3B29"/>
    <w:rsid w:val="00BD0D05"/>
    <w:rsid w:val="00BD5748"/>
    <w:rsid w:val="00BF0FA0"/>
    <w:rsid w:val="00C06F0F"/>
    <w:rsid w:val="00C27300"/>
    <w:rsid w:val="00C278D2"/>
    <w:rsid w:val="00C36ECA"/>
    <w:rsid w:val="00C408CA"/>
    <w:rsid w:val="00C41C14"/>
    <w:rsid w:val="00C5378B"/>
    <w:rsid w:val="00C57362"/>
    <w:rsid w:val="00C74CA1"/>
    <w:rsid w:val="00C953A7"/>
    <w:rsid w:val="00CA3742"/>
    <w:rsid w:val="00CA3BC0"/>
    <w:rsid w:val="00CC34AE"/>
    <w:rsid w:val="00CD19B9"/>
    <w:rsid w:val="00CD28A1"/>
    <w:rsid w:val="00CF5CB6"/>
    <w:rsid w:val="00D255C5"/>
    <w:rsid w:val="00D257A8"/>
    <w:rsid w:val="00D257D6"/>
    <w:rsid w:val="00D40127"/>
    <w:rsid w:val="00DA2125"/>
    <w:rsid w:val="00DA3D2E"/>
    <w:rsid w:val="00DA3D33"/>
    <w:rsid w:val="00DA419D"/>
    <w:rsid w:val="00DB6BE7"/>
    <w:rsid w:val="00DC20E1"/>
    <w:rsid w:val="00DC2222"/>
    <w:rsid w:val="00DC5D2B"/>
    <w:rsid w:val="00DD0637"/>
    <w:rsid w:val="00DD1CF6"/>
    <w:rsid w:val="00DF0D6D"/>
    <w:rsid w:val="00DF7835"/>
    <w:rsid w:val="00E17391"/>
    <w:rsid w:val="00E845FF"/>
    <w:rsid w:val="00E859B5"/>
    <w:rsid w:val="00E95429"/>
    <w:rsid w:val="00ED3F91"/>
    <w:rsid w:val="00EE2E18"/>
    <w:rsid w:val="00EF3982"/>
    <w:rsid w:val="00F0600B"/>
    <w:rsid w:val="00F16A3C"/>
    <w:rsid w:val="00F236BD"/>
    <w:rsid w:val="00F27724"/>
    <w:rsid w:val="00F612E9"/>
    <w:rsid w:val="00F61F5C"/>
    <w:rsid w:val="00F6305C"/>
    <w:rsid w:val="00F714F6"/>
    <w:rsid w:val="00F71B48"/>
    <w:rsid w:val="00F96C79"/>
    <w:rsid w:val="00FB4242"/>
    <w:rsid w:val="00FB4A17"/>
    <w:rsid w:val="00FD3C4D"/>
    <w:rsid w:val="00FE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C2222"/>
  </w:style>
  <w:style w:type="paragraph" w:styleId="FootnoteText">
    <w:name w:val="footnote text"/>
    <w:aliases w:val=" Char9,Char9"/>
    <w:basedOn w:val="Normal"/>
    <w:link w:val="FootnoteTextChar"/>
    <w:semiHidden/>
    <w:rsid w:val="00DC2222"/>
    <w:pPr>
      <w:spacing w:after="0" w:line="240" w:lineRule="auto"/>
    </w:pPr>
    <w:rPr>
      <w:rFonts w:eastAsia="Times New Roman" w:cs="Times New Roman"/>
      <w:sz w:val="20"/>
      <w:szCs w:val="20"/>
      <w:lang w:val="en-US"/>
    </w:rPr>
  </w:style>
  <w:style w:type="character" w:customStyle="1" w:styleId="FootnoteTextChar">
    <w:name w:val="Footnote Text Char"/>
    <w:aliases w:val=" Char9 Char,Char9 Char"/>
    <w:basedOn w:val="DefaultParagraphFont"/>
    <w:link w:val="FootnoteText"/>
    <w:semiHidden/>
    <w:rsid w:val="00DC2222"/>
    <w:rPr>
      <w:rFonts w:eastAsia="Times New Roman" w:cs="Times New Roman"/>
      <w:sz w:val="20"/>
      <w:szCs w:val="20"/>
      <w:lang w:val="en-US"/>
    </w:rPr>
  </w:style>
  <w:style w:type="paragraph" w:styleId="Footer">
    <w:name w:val="footer"/>
    <w:basedOn w:val="Normal"/>
    <w:link w:val="FooterChar"/>
    <w:rsid w:val="00DC2222"/>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rsid w:val="00DC2222"/>
    <w:rPr>
      <w:rFonts w:eastAsia="Times New Roman" w:cs="Times New Roman"/>
      <w:szCs w:val="28"/>
      <w:lang w:val="en-US"/>
    </w:rPr>
  </w:style>
  <w:style w:type="character" w:styleId="FootnoteReference">
    <w:name w:val="footnote reference"/>
    <w:aliases w:val="Footnote"/>
    <w:basedOn w:val="DefaultParagraphFont"/>
    <w:semiHidden/>
    <w:rsid w:val="00DC2222"/>
    <w:rPr>
      <w:vertAlign w:val="superscript"/>
    </w:rPr>
  </w:style>
  <w:style w:type="paragraph" w:styleId="Title">
    <w:name w:val="Title"/>
    <w:basedOn w:val="Normal"/>
    <w:link w:val="TitleChar"/>
    <w:uiPriority w:val="99"/>
    <w:qFormat/>
    <w:rsid w:val="00DC2222"/>
    <w:pPr>
      <w:tabs>
        <w:tab w:val="center" w:pos="6237"/>
      </w:tabs>
      <w:spacing w:before="120" w:after="0" w:line="28" w:lineRule="atLeast"/>
      <w:jc w:val="center"/>
    </w:pPr>
    <w:rPr>
      <w:rFonts w:ascii=".VnTime" w:eastAsia="Times New Roman" w:hAnsi=".VnTime" w:cs="Times New Roman"/>
      <w:b/>
      <w:sz w:val="24"/>
      <w:szCs w:val="20"/>
      <w:lang w:val="en-US"/>
    </w:rPr>
  </w:style>
  <w:style w:type="character" w:customStyle="1" w:styleId="TitleChar">
    <w:name w:val="Title Char"/>
    <w:basedOn w:val="DefaultParagraphFont"/>
    <w:link w:val="Title"/>
    <w:uiPriority w:val="99"/>
    <w:rsid w:val="00DC2222"/>
    <w:rPr>
      <w:rFonts w:ascii=".VnTime" w:eastAsia="Times New Roman" w:hAnsi=".VnTime" w:cs="Times New Roman"/>
      <w:b/>
      <w:sz w:val="24"/>
      <w:szCs w:val="20"/>
      <w:lang w:val="en-US"/>
    </w:rPr>
  </w:style>
  <w:style w:type="paragraph" w:styleId="ListParagraph">
    <w:name w:val="List Paragraph"/>
    <w:basedOn w:val="Normal"/>
    <w:qFormat/>
    <w:rsid w:val="00DC2222"/>
    <w:pPr>
      <w:spacing w:before="120" w:after="0" w:line="288" w:lineRule="auto"/>
      <w:ind w:left="720"/>
      <w:contextualSpacing/>
      <w:jc w:val="center"/>
    </w:pPr>
    <w:rPr>
      <w:rFonts w:eastAsia="Times New Roman" w:cs="Times New Roman"/>
      <w:sz w:val="24"/>
      <w:szCs w:val="24"/>
      <w:lang w:val="en-US"/>
    </w:rPr>
  </w:style>
  <w:style w:type="character" w:customStyle="1" w:styleId="strong-h">
    <w:name w:val="strong-h"/>
    <w:basedOn w:val="DefaultParagraphFont"/>
    <w:rsid w:val="00DC2222"/>
  </w:style>
  <w:style w:type="table" w:styleId="TableGrid">
    <w:name w:val="Table Grid"/>
    <w:basedOn w:val="TableNormal"/>
    <w:uiPriority w:val="59"/>
    <w:rsid w:val="00DC2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F2488"/>
    <w:pPr>
      <w:spacing w:before="100" w:beforeAutospacing="1" w:after="100" w:afterAutospacing="1" w:line="240" w:lineRule="auto"/>
    </w:pPr>
    <w:rPr>
      <w:rFonts w:eastAsia="Times New Roman" w:cs="Times New Roman"/>
      <w:sz w:val="24"/>
      <w:szCs w:val="24"/>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3F2488"/>
    <w:pPr>
      <w:spacing w:after="160" w:line="240" w:lineRule="exact"/>
    </w:pPr>
    <w:rPr>
      <w:rFonts w:ascii="Arial" w:eastAsia="Times New Roman" w:hAnsi="Arial" w:cs="Arial"/>
      <w:sz w:val="22"/>
      <w:lang w:val="en-US"/>
    </w:rPr>
  </w:style>
  <w:style w:type="paragraph" w:styleId="Header">
    <w:name w:val="header"/>
    <w:basedOn w:val="Normal"/>
    <w:link w:val="HeaderChar"/>
    <w:uiPriority w:val="99"/>
    <w:semiHidden/>
    <w:unhideWhenUsed/>
    <w:rsid w:val="000769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EA79-5392-4093-BD0B-B1BD0F39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PC</cp:lastModifiedBy>
  <cp:revision>2</cp:revision>
  <cp:lastPrinted>2013-07-24T01:42:00Z</cp:lastPrinted>
  <dcterms:created xsi:type="dcterms:W3CDTF">2013-07-31T03:13:00Z</dcterms:created>
  <dcterms:modified xsi:type="dcterms:W3CDTF">2013-07-31T03:13:00Z</dcterms:modified>
</cp:coreProperties>
</file>